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A112CE" w:rsidR="00093CA9" w:rsidRDefault="002C2E56"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6447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C46AFD4" w:rsidR="00093CA9" w:rsidRPr="00324BAB" w:rsidRDefault="001507AC" w:rsidP="00D448D0">
            <w:pPr>
              <w:rPr>
                <w:lang w:val="es-ES"/>
              </w:rPr>
            </w:pPr>
            <w:r w:rsidRPr="00324BAB">
              <w:rPr>
                <w:lang w:val="en-US"/>
              </w:rPr>
              <w:t>CFS EC 007 of 2021 integrated in CFS EC 0</w:t>
            </w:r>
            <w:r w:rsidR="00C74F6A" w:rsidRPr="00324BAB">
              <w:rPr>
                <w:lang w:val="en-US"/>
              </w:rPr>
              <w:t>06</w:t>
            </w:r>
            <w:r w:rsidRPr="00324BAB">
              <w:rPr>
                <w:lang w:val="en-US"/>
              </w:rPr>
              <w:t xml:space="preserve"> of 20</w:t>
            </w:r>
            <w:r w:rsidR="00C74F6A" w:rsidRPr="00324BAB">
              <w:rPr>
                <w:lang w:val="en-US"/>
              </w:rPr>
              <w:t>25</w:t>
            </w:r>
            <w:r w:rsidR="00324BAB" w:rsidRPr="00324BAB">
              <w:rPr>
                <w:lang w:val="en-US"/>
              </w:rPr>
              <w:t xml:space="preserve">. Instructions related to the investment processes of the resources of mandatory pension and severance funds, and of the reserves of insurance companies and capitalization societies. </w:t>
            </w:r>
            <w:r w:rsidR="00324BAB" w:rsidRPr="00324BAB">
              <w:rPr>
                <w:lang w:val="es-ES"/>
              </w:rPr>
              <w:t>(Instrucciones relacionadas con los procesos de inversión de los recursos de los fondos de pensiones obligatorias y cesantías, y de las reservas de las entidades aseguradoras y sociedades de capitalización</w:t>
            </w:r>
            <w:r w:rsidR="00324BAB">
              <w:rPr>
                <w:lang w:val="es-ES"/>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1B39E08" w:rsidR="00093CA9" w:rsidRDefault="0024663C" w:rsidP="00093CA9">
            <w:hyperlink r:id="rId17" w:history="1">
              <w:r w:rsidRPr="0024663C">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D06234B" w:rsidR="00093CA9" w:rsidRDefault="00C6376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5E1175B" w:rsidR="00093CA9" w:rsidRDefault="001507AC"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49B2A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2D68512" w14:textId="285E65E3" w:rsidR="008814CB" w:rsidRDefault="008814CB" w:rsidP="008814CB">
            <w:pPr>
              <w:jc w:val="both"/>
            </w:pPr>
            <w:r w:rsidRPr="001507AC">
              <w:t>CFS EC 007 of 2021 integrated in CFS EC 0</w:t>
            </w:r>
            <w:r>
              <w:t>06</w:t>
            </w:r>
            <w:r w:rsidRPr="001507AC">
              <w:t xml:space="preserve"> of 20</w:t>
            </w:r>
            <w:r>
              <w:t>25 is a regulatory tool aimed at both enhancing climate-related disclosure and strengthening prudential oversight. It requires insurance companies, pension fund administrators, and capitalization societies to incorporate environmental, social, and governance (ESG) factors—including climate-related risks—into their investment decision-making and risk management frameworks.</w:t>
            </w:r>
          </w:p>
          <w:p w14:paraId="0E74659D" w14:textId="48777C59" w:rsidR="008814CB" w:rsidRDefault="008814CB" w:rsidP="008814CB">
            <w:pPr>
              <w:jc w:val="both"/>
            </w:pPr>
            <w:r>
              <w:t>The Circular promotes transparency by mandating disclosure of exposure to climate-related risks and whether ESG and climate factors are considered in investment policies. It also acts as a prudential regulation tool by requiring institutions to integrate climate risks into their governance, risk identification, monitoring, and internal reporting processes.</w:t>
            </w:r>
          </w:p>
          <w:p w14:paraId="18257824" w14:textId="226AF1A8" w:rsidR="00093CA9" w:rsidRDefault="008814CB" w:rsidP="008814CB">
            <w:pPr>
              <w:jc w:val="both"/>
            </w:pPr>
            <w:r>
              <w:t>Ultimately, the policy seeks to improve market transparency and ensure the financial sector's resilience and long-term stability in the context of climate change.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FF32E7F" w:rsidR="00093CA9" w:rsidRDefault="00C74F6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48D5546E" w:rsidR="00093CA9" w:rsidRDefault="003D57E5"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744FC7E" w:rsidR="00093CA9" w:rsidRDefault="003D57E5" w:rsidP="00C47CFB">
            <w:pPr>
              <w:jc w:val="both"/>
            </w:pPr>
            <w:r w:rsidRPr="003D57E5">
              <w:t xml:space="preserve">To modernize the broader regulatory architecture, the </w:t>
            </w:r>
            <w:r w:rsidR="005C54D2" w:rsidRPr="005C54D2">
              <w:t xml:space="preserve">Superintendency of Financial </w:t>
            </w:r>
            <w:r w:rsidR="005C54D2">
              <w:t>I</w:t>
            </w:r>
            <w:r w:rsidR="005C54D2" w:rsidRPr="005C54D2">
              <w:t>nstitutions</w:t>
            </w:r>
            <w:r w:rsidR="0041073E">
              <w:t xml:space="preserve"> (SFC)</w:t>
            </w:r>
            <w:r w:rsidRPr="003D57E5">
              <w:t xml:space="preserve"> has re-issued and streamlined the Circular Básica Jurídica (CBJ) through Circular 006 of 2025. Effective 26 June 2025</w:t>
            </w:r>
            <w:r>
              <w:t xml:space="preserve">. </w:t>
            </w:r>
            <w:r w:rsidRPr="003D57E5">
              <w:t>The main objectives of this new Circular are to update, simplify, and clarify the regulatory framework in order to enhance its efficiency, coherence, and transparency, in line with national and international standards for regulatory improvement and digital transformation.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768A8AF" w:rsidR="00093CA9" w:rsidRPr="00173D7C" w:rsidRDefault="003D57E5"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382A8FD" w:rsidR="00093CA9" w:rsidRPr="00173D7C" w:rsidRDefault="009F342D"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579E8E0" w:rsidR="00093CA9" w:rsidRPr="00587FAE" w:rsidRDefault="005C54D2" w:rsidP="00093CA9">
            <w:pPr>
              <w:rPr>
                <w:color w:val="000000" w:themeColor="text1"/>
              </w:rPr>
            </w:pPr>
            <w:r>
              <w:rPr>
                <w:color w:val="000000" w:themeColor="text1"/>
              </w:rPr>
              <w:t>T</w:t>
            </w:r>
            <w:r w:rsidR="00774153" w:rsidRPr="00774153">
              <w:rPr>
                <w:color w:val="000000" w:themeColor="text1"/>
              </w:rPr>
              <w:t xml:space="preserve">he entry into force involves an immediate effectiveness of </w:t>
            </w:r>
            <w:r w:rsidRPr="001507AC">
              <w:t>CFS EC 007 of 2021 integrated in CFS EC 0</w:t>
            </w:r>
            <w:r>
              <w:t>06</w:t>
            </w:r>
            <w:r w:rsidRPr="001507AC">
              <w:t xml:space="preserve"> of 20</w:t>
            </w:r>
            <w:r>
              <w:t>25</w:t>
            </w:r>
            <w:r w:rsidR="00774153" w:rsidRPr="00774153">
              <w:rPr>
                <w:color w:val="000000" w:themeColor="text1"/>
              </w:rPr>
              <w:t>, a requirement to submit an implementation plan by July 26, 2021, and a final deadline for full adoption of the new requirements by April 25, 2022. This structure creates a clear, multi-phase timeline for compliance.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6DB91511" w14:textId="37FE0E48" w:rsidR="005C54D2" w:rsidRDefault="005C54D2" w:rsidP="005C54D2">
            <w:pPr>
              <w:jc w:val="both"/>
            </w:pPr>
            <w:r>
              <w:t xml:space="preserve">The policy tool is authored and issued by the </w:t>
            </w:r>
            <w:r w:rsidRPr="005C54D2">
              <w:rPr>
                <w:lang w:val="en-US"/>
              </w:rPr>
              <w:t xml:space="preserve">Superintendency of </w:t>
            </w:r>
            <w:r>
              <w:rPr>
                <w:lang w:val="en-US"/>
              </w:rPr>
              <w:t>F</w:t>
            </w:r>
            <w:r w:rsidRPr="005C54D2">
              <w:rPr>
                <w:lang w:val="en-US"/>
              </w:rPr>
              <w:t>inancial institutions</w:t>
            </w:r>
            <w:r w:rsidRPr="005C54D2">
              <w:t xml:space="preserve"> </w:t>
            </w:r>
            <w:r>
              <w:t>(</w:t>
            </w:r>
            <w:r w:rsidRPr="005C54D2">
              <w:rPr>
                <w:i/>
                <w:iCs/>
              </w:rPr>
              <w:t>Superintendencia Financiera de Colombia</w:t>
            </w:r>
            <w:r>
              <w:t>), which is a technical government agency attached to the Ministry of Finance and Public Credit. The SFC possesses legal personality, as well as administrative and financial autonomy, and its own assets.</w:t>
            </w:r>
          </w:p>
          <w:p w14:paraId="7961F236" w14:textId="706A323F" w:rsidR="00093CA9" w:rsidRDefault="005C54D2" w:rsidP="005C54D2">
            <w:pPr>
              <w:jc w:val="both"/>
            </w:pPr>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B0F7831" w:rsidR="00093CA9" w:rsidRPr="006B7B0D" w:rsidRDefault="005E4C3B" w:rsidP="00093CA9">
            <w:r w:rsidRPr="005E4C3B">
              <w:t>Superintendency of Financial institutions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53A9773" w:rsidR="00093CA9" w:rsidRPr="006B7B0D" w:rsidRDefault="005E4C3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3D116D4" w:rsidR="00093CA9" w:rsidRDefault="005E4C3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34E4FF0" w14:textId="5FAAE68D" w:rsidR="00177B0A" w:rsidRDefault="00867D88" w:rsidP="002D1864">
            <w:pPr>
              <w:keepNext/>
              <w:contextualSpacing/>
              <w:rPr>
                <w:color w:val="000000" w:themeColor="text1"/>
              </w:rPr>
            </w:pPr>
            <w:r>
              <w:rPr>
                <w:color w:val="000000" w:themeColor="text1"/>
              </w:rPr>
              <w:t>T</w:t>
            </w:r>
            <w:r w:rsidRPr="00867D88">
              <w:rPr>
                <w:color w:val="000000" w:themeColor="text1"/>
              </w:rPr>
              <w:t xml:space="preserve">hese systems are structured through periodic reporting requirements, internal controls, and specific responsibilities assigned to various organizational bodies. Below are the relevant mechanisms and their corresponding </w:t>
            </w:r>
            <w:r w:rsidR="00177B0A">
              <w:rPr>
                <w:color w:val="000000" w:themeColor="text1"/>
              </w:rPr>
              <w:t>section</w:t>
            </w:r>
            <w:r w:rsidRPr="00867D88">
              <w:rPr>
                <w:color w:val="000000" w:themeColor="text1"/>
              </w:rPr>
              <w:t>s</w:t>
            </w:r>
            <w:r>
              <w:rPr>
                <w:color w:val="000000" w:themeColor="text1"/>
              </w:rPr>
              <w:t>:</w:t>
            </w:r>
          </w:p>
          <w:p w14:paraId="4FCBD528" w14:textId="77777777" w:rsidR="002D1864" w:rsidRDefault="002D1864" w:rsidP="002D1864">
            <w:pPr>
              <w:keepNext/>
              <w:contextualSpacing/>
              <w:rPr>
                <w:color w:val="000000" w:themeColor="text1"/>
              </w:rPr>
            </w:pPr>
          </w:p>
          <w:p w14:paraId="399E73B7" w14:textId="58347A17" w:rsidR="00177B0A" w:rsidRPr="00177B0A" w:rsidRDefault="00303CE1" w:rsidP="002D1864">
            <w:pPr>
              <w:pStyle w:val="ListParagraph"/>
              <w:keepNext/>
              <w:numPr>
                <w:ilvl w:val="0"/>
                <w:numId w:val="49"/>
              </w:numPr>
              <w:jc w:val="both"/>
              <w:rPr>
                <w:lang w:val="en-US"/>
              </w:rPr>
            </w:pPr>
            <w:r w:rsidRPr="00303CE1">
              <w:rPr>
                <w:color w:val="000000" w:themeColor="text1"/>
              </w:rPr>
              <w:t>Chapter IV, Title III, Part II of CFS EC 006 of 2025</w:t>
            </w:r>
            <w:r>
              <w:rPr>
                <w:color w:val="000000" w:themeColor="text1"/>
              </w:rPr>
              <w:t>.</w:t>
            </w:r>
            <w:r w:rsidR="00177B0A">
              <w:rPr>
                <w:lang w:val="en-US"/>
              </w:rPr>
              <w:t xml:space="preserve"> </w:t>
            </w:r>
            <w:r w:rsidR="00177B0A" w:rsidRPr="00177B0A">
              <w:rPr>
                <w:color w:val="000000" w:themeColor="text1"/>
              </w:rPr>
              <w:t xml:space="preserve">Disclosure of Investment Policies </w:t>
            </w:r>
            <w:r w:rsidR="00177B0A">
              <w:rPr>
                <w:color w:val="000000" w:themeColor="text1"/>
              </w:rPr>
              <w:t>f</w:t>
            </w:r>
            <w:r w:rsidR="00177B0A" w:rsidRPr="00177B0A">
              <w:rPr>
                <w:color w:val="000000" w:themeColor="text1"/>
              </w:rPr>
              <w:t xml:space="preserve">or </w:t>
            </w:r>
            <w:r w:rsidR="00177B0A">
              <w:rPr>
                <w:color w:val="000000" w:themeColor="text1"/>
              </w:rPr>
              <w:t>P</w:t>
            </w:r>
            <w:r w:rsidR="00177B0A" w:rsidRPr="00177B0A">
              <w:rPr>
                <w:color w:val="000000" w:themeColor="text1"/>
              </w:rPr>
              <w:t xml:space="preserve">ension and </w:t>
            </w:r>
            <w:r w:rsidR="00177B0A">
              <w:rPr>
                <w:color w:val="000000" w:themeColor="text1"/>
              </w:rPr>
              <w:t>S</w:t>
            </w:r>
            <w:r w:rsidR="00177B0A" w:rsidRPr="00177B0A">
              <w:rPr>
                <w:color w:val="000000" w:themeColor="text1"/>
              </w:rPr>
              <w:t xml:space="preserve">everance </w:t>
            </w:r>
            <w:r w:rsidR="00177B0A">
              <w:rPr>
                <w:color w:val="000000" w:themeColor="text1"/>
              </w:rPr>
              <w:t>F</w:t>
            </w:r>
            <w:r w:rsidR="00177B0A" w:rsidRPr="00177B0A">
              <w:rPr>
                <w:color w:val="000000" w:themeColor="text1"/>
              </w:rPr>
              <w:t xml:space="preserve">und </w:t>
            </w:r>
            <w:r w:rsidR="00177B0A">
              <w:rPr>
                <w:color w:val="000000" w:themeColor="text1"/>
              </w:rPr>
              <w:t>A</w:t>
            </w:r>
            <w:r w:rsidR="00177B0A" w:rsidRPr="00177B0A">
              <w:rPr>
                <w:color w:val="000000" w:themeColor="text1"/>
              </w:rPr>
              <w:t>dministrators (</w:t>
            </w:r>
            <w:r w:rsidR="00177B0A" w:rsidRPr="00177B0A">
              <w:rPr>
                <w:i/>
                <w:iCs/>
                <w:color w:val="000000" w:themeColor="text1"/>
              </w:rPr>
              <w:t>Administradoras de Fondos de Pensiones y Cesantías</w:t>
            </w:r>
            <w:r w:rsidR="00177B0A" w:rsidRPr="00177B0A">
              <w:rPr>
                <w:color w:val="000000" w:themeColor="text1"/>
              </w:rPr>
              <w:t>)</w:t>
            </w:r>
            <w:r w:rsidR="0072595B">
              <w:rPr>
                <w:color w:val="000000" w:themeColor="text1"/>
              </w:rPr>
              <w:t xml:space="preserve">: </w:t>
            </w:r>
            <w:r w:rsidR="00177B0A" w:rsidRPr="00177B0A">
              <w:rPr>
                <w:color w:val="000000" w:themeColor="text1"/>
              </w:rPr>
              <w:t>investment policies must be published on their websites in an easily accessible location, and any changes must be reported to the SFC 15 business days before publication. Summaries of these policies must also be made available to the public in clear, understandable language (numerals 2.1.2, 2.1.3).</w:t>
            </w:r>
          </w:p>
          <w:p w14:paraId="788D7309" w14:textId="77777777" w:rsidR="00177B0A" w:rsidRPr="00177B0A" w:rsidRDefault="00177B0A" w:rsidP="002D1864">
            <w:pPr>
              <w:pStyle w:val="ListParagraph"/>
              <w:keepNext/>
              <w:jc w:val="both"/>
              <w:rPr>
                <w:lang w:val="en-US"/>
              </w:rPr>
            </w:pPr>
          </w:p>
          <w:p w14:paraId="7165006E" w14:textId="5CFEC74C" w:rsidR="00177B0A" w:rsidRDefault="00AB2D35" w:rsidP="002D1864">
            <w:pPr>
              <w:pStyle w:val="ListParagraph"/>
              <w:keepNext/>
              <w:jc w:val="both"/>
              <w:rPr>
                <w:color w:val="000000" w:themeColor="text1"/>
              </w:rPr>
            </w:pPr>
            <w:r>
              <w:rPr>
                <w:color w:val="000000" w:themeColor="text1"/>
              </w:rPr>
              <w:t>Likewise, it is required to d</w:t>
            </w:r>
            <w:r w:rsidR="00177B0A" w:rsidRPr="00177B0A">
              <w:rPr>
                <w:color w:val="000000" w:themeColor="text1"/>
              </w:rPr>
              <w:t>isclosure</w:t>
            </w:r>
            <w:r>
              <w:rPr>
                <w:color w:val="000000" w:themeColor="text1"/>
              </w:rPr>
              <w:t xml:space="preserve"> t</w:t>
            </w:r>
            <w:r w:rsidRPr="00AB2D35">
              <w:rPr>
                <w:color w:val="000000" w:themeColor="text1"/>
              </w:rPr>
              <w:t>he existence of investment policies and the means to access them must be disclosed in the notes to financial statements</w:t>
            </w:r>
            <w:r w:rsidR="00303CE1">
              <w:rPr>
                <w:color w:val="000000" w:themeColor="text1"/>
              </w:rPr>
              <w:t xml:space="preserve"> (numeral 2.1.2).</w:t>
            </w:r>
          </w:p>
          <w:p w14:paraId="215A3423" w14:textId="77777777" w:rsidR="00216743" w:rsidRDefault="00216743" w:rsidP="002D1864">
            <w:pPr>
              <w:pStyle w:val="ListParagraph"/>
              <w:keepNext/>
              <w:jc w:val="both"/>
              <w:rPr>
                <w:color w:val="000000" w:themeColor="text1"/>
              </w:rPr>
            </w:pPr>
          </w:p>
          <w:p w14:paraId="33567273" w14:textId="2098CE99" w:rsidR="00216743" w:rsidRDefault="008178BD" w:rsidP="002D1864">
            <w:pPr>
              <w:pStyle w:val="ListParagraph"/>
              <w:keepNext/>
              <w:jc w:val="both"/>
              <w:rPr>
                <w:color w:val="000000" w:themeColor="text1"/>
              </w:rPr>
            </w:pPr>
            <w:r>
              <w:rPr>
                <w:color w:val="000000" w:themeColor="text1"/>
              </w:rPr>
              <w:t>Investment policies must disclose</w:t>
            </w:r>
            <w:r w:rsidR="00216743" w:rsidRPr="00216743">
              <w:rPr>
                <w:color w:val="000000" w:themeColor="text1"/>
              </w:rPr>
              <w:t>, at a minimum:</w:t>
            </w:r>
            <w:r w:rsidR="00216743">
              <w:rPr>
                <w:color w:val="000000" w:themeColor="text1"/>
              </w:rPr>
              <w:t xml:space="preserve"> i) </w:t>
            </w:r>
            <w:r w:rsidR="00216743" w:rsidRPr="00216743">
              <w:rPr>
                <w:color w:val="000000" w:themeColor="text1"/>
              </w:rPr>
              <w:t xml:space="preserve">A clear assignment of roles and responsibilities for managing </w:t>
            </w:r>
            <w:r w:rsidR="00FE6D6D">
              <w:rPr>
                <w:color w:val="000000" w:themeColor="text1"/>
              </w:rPr>
              <w:t xml:space="preserve">ESG </w:t>
            </w:r>
            <w:r w:rsidR="00216743" w:rsidRPr="00216743">
              <w:rPr>
                <w:color w:val="000000" w:themeColor="text1"/>
              </w:rPr>
              <w:t xml:space="preserve"> risks, with specific reference to climate-related risks</w:t>
            </w:r>
            <w:r w:rsidR="00216743">
              <w:rPr>
                <w:color w:val="000000" w:themeColor="text1"/>
              </w:rPr>
              <w:t xml:space="preserve">; ii) </w:t>
            </w:r>
            <w:r w:rsidR="00216743" w:rsidRPr="00216743">
              <w:rPr>
                <w:color w:val="000000" w:themeColor="text1"/>
              </w:rPr>
              <w:t>Integration of material ESG and climate factors that could influence the portfolio’s financial performance, applying the materiality definition</w:t>
            </w:r>
            <w:r w:rsidR="00FE6D6D">
              <w:rPr>
                <w:color w:val="000000" w:themeColor="text1"/>
              </w:rPr>
              <w:t xml:space="preserve">; iii) </w:t>
            </w:r>
            <w:r w:rsidR="00FE6D6D" w:rsidRPr="00FE6D6D">
              <w:rPr>
                <w:color w:val="000000" w:themeColor="text1"/>
              </w:rPr>
              <w:t>The criteria that investment vehicles or strategies must satisfy, such as minimum credit ratings, corporate-governance standards, geographic or sectoral limits, and ESG or climate metrics or ratings</w:t>
            </w:r>
            <w:r w:rsidR="00FE6D6D">
              <w:rPr>
                <w:color w:val="000000" w:themeColor="text1"/>
              </w:rPr>
              <w:t xml:space="preserve"> (numerals 2.1.1.2; 2.1.1.9; 2.1.1.11.1; </w:t>
            </w:r>
            <w:r w:rsidR="00FE6D6D" w:rsidRPr="00FE6D6D">
              <w:rPr>
                <w:color w:val="000000" w:themeColor="text1"/>
              </w:rPr>
              <w:t>2.1.1.14.6.3</w:t>
            </w:r>
            <w:r w:rsidR="00FE6D6D">
              <w:rPr>
                <w:color w:val="000000" w:themeColor="text1"/>
              </w:rPr>
              <w:t xml:space="preserve">; </w:t>
            </w:r>
            <w:r w:rsidR="00FE6D6D" w:rsidRPr="00FE6D6D">
              <w:rPr>
                <w:color w:val="000000" w:themeColor="text1"/>
              </w:rPr>
              <w:t>2.1.1.14.7.7</w:t>
            </w:r>
            <w:r w:rsidR="00FE6D6D">
              <w:rPr>
                <w:color w:val="000000" w:themeColor="text1"/>
              </w:rPr>
              <w:t xml:space="preserve">). </w:t>
            </w:r>
          </w:p>
          <w:p w14:paraId="20558C18" w14:textId="77777777" w:rsidR="00177B0A" w:rsidRDefault="00177B0A" w:rsidP="002D1864">
            <w:pPr>
              <w:pStyle w:val="ListParagraph"/>
              <w:keepNext/>
              <w:jc w:val="both"/>
              <w:rPr>
                <w:color w:val="000000" w:themeColor="text1"/>
              </w:rPr>
            </w:pPr>
          </w:p>
          <w:p w14:paraId="5F463A16" w14:textId="0792B98B" w:rsidR="00711B18" w:rsidRDefault="00711B18" w:rsidP="002D1864">
            <w:pPr>
              <w:pStyle w:val="ListParagraph"/>
              <w:keepNext/>
              <w:numPr>
                <w:ilvl w:val="0"/>
                <w:numId w:val="49"/>
              </w:numPr>
              <w:jc w:val="both"/>
              <w:rPr>
                <w:lang w:val="en-US"/>
              </w:rPr>
            </w:pPr>
            <w:r w:rsidRPr="00303CE1">
              <w:rPr>
                <w:color w:val="000000" w:themeColor="text1"/>
              </w:rPr>
              <w:t>Chapter I, Title I</w:t>
            </w:r>
            <w:r>
              <w:rPr>
                <w:color w:val="000000" w:themeColor="text1"/>
              </w:rPr>
              <w:t>V</w:t>
            </w:r>
            <w:r w:rsidRPr="00303CE1">
              <w:rPr>
                <w:color w:val="000000" w:themeColor="text1"/>
              </w:rPr>
              <w:t>, Part II of CFS EC 006 of 2025</w:t>
            </w:r>
            <w:r w:rsidRPr="00177B0A">
              <w:rPr>
                <w:lang w:val="en-US"/>
              </w:rPr>
              <w:t>:</w:t>
            </w:r>
          </w:p>
          <w:p w14:paraId="13951786" w14:textId="77777777" w:rsidR="008178BD" w:rsidRDefault="008178BD" w:rsidP="002D1864">
            <w:pPr>
              <w:pStyle w:val="ListParagraph"/>
              <w:keepNext/>
              <w:jc w:val="both"/>
              <w:rPr>
                <w:lang w:val="en-US"/>
              </w:rPr>
            </w:pPr>
          </w:p>
          <w:p w14:paraId="6FDD99E1" w14:textId="52BE233E" w:rsidR="008178BD" w:rsidRDefault="008178BD" w:rsidP="002D1864">
            <w:pPr>
              <w:pStyle w:val="ListParagraph"/>
              <w:keepNext/>
              <w:jc w:val="both"/>
              <w:rPr>
                <w:lang w:val="en-US"/>
              </w:rPr>
            </w:pPr>
            <w:r w:rsidRPr="008178BD">
              <w:rPr>
                <w:lang w:val="en-US"/>
              </w:rPr>
              <w:t>Insurance Companies and Capitalization Societies</w:t>
            </w:r>
            <w:r>
              <w:rPr>
                <w:lang w:val="en-US"/>
              </w:rPr>
              <w:t xml:space="preserve">: </w:t>
            </w:r>
            <w:r w:rsidRPr="008178BD">
              <w:rPr>
                <w:lang w:val="en-US"/>
              </w:rPr>
              <w:t>Both insurance companies and capitalization societies are required to have their internal audit functions evaluate compliance with the investment policy at least once a year, or whenever situations arise that require review. The results must be reported to the legal representative, the audit committee, and the board of directors</w:t>
            </w:r>
            <w:r>
              <w:rPr>
                <w:lang w:val="en-US"/>
              </w:rPr>
              <w:t xml:space="preserve"> (numeral 3.6.1)</w:t>
            </w:r>
          </w:p>
          <w:p w14:paraId="2FBDEF09" w14:textId="77777777" w:rsidR="008178BD" w:rsidRDefault="008178BD" w:rsidP="002D1864">
            <w:pPr>
              <w:pStyle w:val="ListParagraph"/>
              <w:keepNext/>
              <w:jc w:val="both"/>
              <w:rPr>
                <w:lang w:val="en-US"/>
              </w:rPr>
            </w:pPr>
          </w:p>
          <w:p w14:paraId="10429EA6" w14:textId="6840B742" w:rsidR="008178BD" w:rsidRDefault="008178BD" w:rsidP="002D1864">
            <w:pPr>
              <w:pStyle w:val="ListParagraph"/>
              <w:keepNext/>
              <w:jc w:val="both"/>
              <w:rPr>
                <w:lang w:val="en-US"/>
              </w:rPr>
            </w:pPr>
            <w:r w:rsidRPr="008178BD">
              <w:rPr>
                <w:lang w:val="en-US"/>
              </w:rPr>
              <w:t>Semiannual and Additional Reporting</w:t>
            </w:r>
            <w:r>
              <w:rPr>
                <w:lang w:val="en-US"/>
              </w:rPr>
              <w:t xml:space="preserve">: </w:t>
            </w:r>
            <w:r w:rsidRPr="008178BD">
              <w:rPr>
                <w:lang w:val="en-US"/>
              </w:rPr>
              <w:t>The internal audit must also conduct ongoing monitoring and present a semiannual report to the board of directors regarding compliance with the investment policy, unless an extraordinary situation justifies an additional report</w:t>
            </w:r>
            <w:r>
              <w:rPr>
                <w:lang w:val="en-US"/>
              </w:rPr>
              <w:t xml:space="preserve"> (numeral 3.6.4)</w:t>
            </w:r>
          </w:p>
          <w:p w14:paraId="02B9FE4D" w14:textId="77777777" w:rsidR="008178BD" w:rsidRDefault="008178BD" w:rsidP="002D1864">
            <w:pPr>
              <w:pStyle w:val="ListParagraph"/>
              <w:keepNext/>
              <w:jc w:val="both"/>
              <w:rPr>
                <w:lang w:val="en-US"/>
              </w:rPr>
            </w:pPr>
          </w:p>
          <w:p w14:paraId="02F01FCD" w14:textId="0E26B751" w:rsidR="008178BD" w:rsidRDefault="008178BD" w:rsidP="002D1864">
            <w:pPr>
              <w:pStyle w:val="ListParagraph"/>
              <w:keepNext/>
              <w:jc w:val="both"/>
              <w:rPr>
                <w:lang w:val="en-US"/>
              </w:rPr>
            </w:pPr>
            <w:r>
              <w:rPr>
                <w:lang w:val="en-US"/>
              </w:rPr>
              <w:t xml:space="preserve">Committee oversight: </w:t>
            </w:r>
            <w:r w:rsidRPr="008178BD">
              <w:rPr>
                <w:lang w:val="en-US"/>
              </w:rPr>
              <w:t>Committees or designated areas are responsible for monitoring compliance with internal and legal investment limits, as well as the risk position of the investment portfolio. They must present reports to the board of directors at the frequency established in the investment policy</w:t>
            </w:r>
            <w:r>
              <w:rPr>
                <w:lang w:val="en-US"/>
              </w:rPr>
              <w:t xml:space="preserve">, one of the reports includes </w:t>
            </w:r>
            <w:r w:rsidRPr="008178BD">
              <w:rPr>
                <w:lang w:val="en-US"/>
              </w:rPr>
              <w:t>ESG and climate-related matters and risks (</w:t>
            </w:r>
            <w:r>
              <w:rPr>
                <w:lang w:val="en-US"/>
              </w:rPr>
              <w:t>numeral 3.5.14)</w:t>
            </w:r>
          </w:p>
          <w:p w14:paraId="0B321157" w14:textId="77777777" w:rsidR="00711B18" w:rsidRPr="00711B18" w:rsidRDefault="00711B18" w:rsidP="002D1864">
            <w:pPr>
              <w:pStyle w:val="ListParagraph"/>
              <w:keepNext/>
              <w:jc w:val="both"/>
              <w:rPr>
                <w:lang w:val="en-US"/>
              </w:rPr>
            </w:pPr>
          </w:p>
          <w:p w14:paraId="2C2128DB" w14:textId="4E1BDDA5" w:rsidR="00177B0A" w:rsidRPr="002D1864" w:rsidRDefault="00303CE1" w:rsidP="00177B0A">
            <w:pPr>
              <w:pStyle w:val="ListParagraph"/>
              <w:keepNext/>
              <w:numPr>
                <w:ilvl w:val="0"/>
                <w:numId w:val="49"/>
              </w:numPr>
              <w:jc w:val="both"/>
              <w:rPr>
                <w:lang w:val="en-US"/>
              </w:rPr>
            </w:pPr>
            <w:r w:rsidRPr="00303CE1">
              <w:rPr>
                <w:color w:val="000000" w:themeColor="text1"/>
              </w:rPr>
              <w:t>Chapter I</w:t>
            </w:r>
            <w:r>
              <w:rPr>
                <w:color w:val="000000" w:themeColor="text1"/>
              </w:rPr>
              <w:t>I</w:t>
            </w:r>
            <w:r w:rsidRPr="00303CE1">
              <w:rPr>
                <w:color w:val="000000" w:themeColor="text1"/>
              </w:rPr>
              <w:t>, Title I</w:t>
            </w:r>
            <w:r>
              <w:rPr>
                <w:color w:val="000000" w:themeColor="text1"/>
              </w:rPr>
              <w:t>V</w:t>
            </w:r>
            <w:r w:rsidRPr="00303CE1">
              <w:rPr>
                <w:color w:val="000000" w:themeColor="text1"/>
              </w:rPr>
              <w:t>, Part II of CFS EC 006 of 2025</w:t>
            </w:r>
            <w:r w:rsidRPr="00177B0A">
              <w:rPr>
                <w:lang w:val="en-US"/>
              </w:rPr>
              <w:t>:</w:t>
            </w:r>
            <w:r w:rsidR="00DA22FE">
              <w:rPr>
                <w:lang w:val="en-US"/>
              </w:rPr>
              <w:t xml:space="preserve"> </w:t>
            </w:r>
            <w:r w:rsidR="00DA22FE" w:rsidRPr="00DA22FE">
              <w:t xml:space="preserve">Insurance entities must indicate in their investment policy whether they include the assessment of </w:t>
            </w:r>
            <w:r w:rsidR="00711B18">
              <w:t>ESG</w:t>
            </w:r>
            <w:r w:rsidR="00DA22FE" w:rsidRPr="00DA22FE">
              <w:t>, and climate-related risks, or the reasons why such risks are not included.</w:t>
            </w:r>
            <w:r w:rsidR="00711B18">
              <w:t xml:space="preserve"> </w:t>
            </w:r>
            <w:r w:rsidR="0072595B" w:rsidRPr="00711B18">
              <w:rPr>
                <w:lang w:val="en-US"/>
              </w:rPr>
              <w:t>Likewise, t</w:t>
            </w:r>
            <w:r w:rsidRPr="00711B18">
              <w:rPr>
                <w:lang w:val="en-US"/>
              </w:rPr>
              <w:t>he results of exposure calculations must be reviewed periodically (quarterly) by the designated committee or area, which is also responsible for permanent control of compliance with investment limits (numerals 2.2.9.1.1.3, 2.2.9.1.1.4).</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14BA424C" w:rsidR="00CF5268" w:rsidRDefault="002D1864"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0BDF19EE"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641C91A" w:rsidR="00CF5268" w:rsidRDefault="002D1864"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C3F8095" w:rsidR="00CF5268" w:rsidRDefault="006241BA" w:rsidP="00DD3144">
            <w:r>
              <w:t>X</w:t>
            </w:r>
          </w:p>
        </w:tc>
        <w:tc>
          <w:tcPr>
            <w:tcW w:w="1447" w:type="dxa"/>
            <w:vAlign w:val="center"/>
          </w:tcPr>
          <w:p w14:paraId="568957B7" w14:textId="3593FF1C"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4CCD61E" w:rsidR="00CF5268" w:rsidRDefault="002D1864"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13F176A" w:rsidR="00CF5268" w:rsidRDefault="002D1864"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C72012B" w:rsidR="466E435B" w:rsidRDefault="002D1864"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CA3A949" w:rsidR="00CF5268" w:rsidRDefault="002D186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DA2271E" w:rsidR="466E435B" w:rsidRDefault="002D1864"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0C37C51" w:rsidR="466E435B" w:rsidRDefault="002D1864"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6852823" w:rsidR="466E435B" w:rsidRDefault="002D1864"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2EDA54B" w:rsidR="466E435B" w:rsidRDefault="002D186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6DB1C739" w:rsidR="00CF5268" w:rsidRDefault="002D186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E69B8DD" w:rsidR="00CF5268" w:rsidRDefault="00064474"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5706CACC" w:rsidR="004B2D74" w:rsidRDefault="002D1864"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149EB762" w:rsidR="004B2D74" w:rsidRDefault="006241BA" w:rsidP="00DD3144">
            <w:r>
              <w:t>X</w:t>
            </w:r>
          </w:p>
        </w:tc>
        <w:tc>
          <w:tcPr>
            <w:tcW w:w="1447" w:type="dxa"/>
            <w:vAlign w:val="center"/>
          </w:tcPr>
          <w:p w14:paraId="598CCB17" w14:textId="20E88E10" w:rsidR="004B2D74" w:rsidRDefault="004B2D74" w:rsidP="00DD3144"/>
        </w:tc>
        <w:tc>
          <w:tcPr>
            <w:tcW w:w="1447" w:type="dxa"/>
            <w:vAlign w:val="center"/>
          </w:tcPr>
          <w:p w14:paraId="1A169030" w14:textId="03637E11"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5E6DCB28" w:rsidR="004B2D74" w:rsidRDefault="006241BA" w:rsidP="00DD3144">
            <w:r>
              <w:t>X</w:t>
            </w:r>
          </w:p>
        </w:tc>
        <w:tc>
          <w:tcPr>
            <w:tcW w:w="1447" w:type="dxa"/>
            <w:vAlign w:val="center"/>
          </w:tcPr>
          <w:p w14:paraId="5C009F2B" w14:textId="437E46C5"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40E8294"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BB4536F" w:rsidR="004B2D74" w:rsidRDefault="00035C37"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C64D43B" w:rsidR="004B2D74" w:rsidRDefault="006241BA" w:rsidP="00DD3144">
            <w:r>
              <w:t>X</w:t>
            </w:r>
          </w:p>
        </w:tc>
        <w:tc>
          <w:tcPr>
            <w:tcW w:w="1447" w:type="dxa"/>
            <w:vAlign w:val="center"/>
          </w:tcPr>
          <w:p w14:paraId="7C107B52" w14:textId="6A10AA5E"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2EA318C0" w:rsidR="004B2D74" w:rsidRDefault="002D1864"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18E5E28F" w:rsidR="00B536E6" w:rsidRDefault="00064474"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46314D7C" w:rsidR="00B536E6" w:rsidRDefault="00064474"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6C765719" w:rsidR="00B536E6" w:rsidRDefault="00064474"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2F85E1C" w:rsidR="00B536E6" w:rsidRDefault="00064474"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5D3F0DBF" w:rsidR="00B536E6" w:rsidRDefault="00064474"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56FF2D5B" w:rsidR="00B536E6" w:rsidRDefault="00064474"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167BD527" w:rsidR="00B536E6" w:rsidRDefault="00064474"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7ACEB86" w:rsidR="00B536E6" w:rsidRDefault="00064474"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FD4298E" w:rsidR="00B536E6" w:rsidRDefault="00064474"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794AF710" w:rsidR="00B536E6" w:rsidRDefault="00064474"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4BF50FC8" w:rsidR="00B536E6" w:rsidRDefault="00064474"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36B45F3" w:rsidR="00B536E6" w:rsidRDefault="00064474"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15672A09" w:rsidR="00B536E6" w:rsidRDefault="00064474"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31C45BEF" w:rsidR="00B536E6" w:rsidRDefault="00064474"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507B04C" w:rsidR="00B536E6" w:rsidRDefault="00064474"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3033099" w:rsidR="00B536E6" w:rsidRDefault="00064474"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C6C2104" w:rsidR="00B536E6" w:rsidRDefault="00064474"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B3B8293" w:rsidR="00B536E6" w:rsidRDefault="00064474"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50D1F5C" w:rsidR="00B536E6" w:rsidRDefault="00064474"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379043B" w:rsidR="00B536E6" w:rsidRDefault="00064474"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4A43649" w:rsidR="00B536E6" w:rsidRDefault="00064474"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AC342BE" w:rsidR="00B536E6" w:rsidRDefault="00064474"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rsidRPr="00871095"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6959F938" w:rsidR="0039223F" w:rsidRPr="00871095" w:rsidRDefault="00871095" w:rsidP="00871095">
            <w:pPr>
              <w:jc w:val="both"/>
              <w:rPr>
                <w:lang w:val="en-US"/>
              </w:rPr>
            </w:pPr>
            <w:r w:rsidRPr="00871095">
              <w:rPr>
                <w:lang w:val="en-US"/>
              </w:rPr>
              <w:t>Although the entities to which CFS EC 007 of 2021, as integrated into CFS EC 006 of 2025, is addressed belong to the "financial and insurance activities" sector, the regulation was not issued based on the sector in which certain entities carry out their corporate purpose. On the contrary, the regulation was specifically issued to target insurance entities, capitalization companies, and pension and severance fund management companies.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D653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47BB78BD"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6B08685" w:rsidR="00524D54" w:rsidRPr="003577A4" w:rsidRDefault="00064474" w:rsidP="00DD3144">
            <w:r>
              <w:t>I</w:t>
            </w:r>
            <w:r w:rsidRPr="00064474">
              <w:t>nsurance entities, capitalization companies, and pension and severance fund management companies subject to the inspection and supervision of the SFC</w:t>
            </w:r>
            <w:r>
              <w:t>.</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CF00DED"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605311EA" w:rsidR="00576ED8" w:rsidRDefault="00035C37" w:rsidP="00DD3144">
            <w:r w:rsidRPr="00871095">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RPr="00871095"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01F50AB1" w:rsidR="009F5822" w:rsidRPr="00871095" w:rsidRDefault="00871095" w:rsidP="00952EAF">
            <w:pPr>
              <w:jc w:val="both"/>
              <w:rPr>
                <w:lang w:val="en-US"/>
              </w:rPr>
            </w:pPr>
            <w:r w:rsidRPr="00871095">
              <w:rPr>
                <w:lang w:val="en-US"/>
              </w:rPr>
              <w:t>The regulatory provisions related to investment policy and governance typically include language such as the following: “</w:t>
            </w:r>
            <w:r w:rsidRPr="00871095">
              <w:rPr>
                <w:i/>
                <w:iCs/>
                <w:lang w:val="en-US"/>
              </w:rPr>
              <w:t>companies must indicate in their investment policy whether they include the assessment of environmental, social, and corporate governance (ESG) and climate-related risks, or the reasons why such assessments are not included</w:t>
            </w:r>
            <w:r w:rsidRPr="00871095">
              <w:rPr>
                <w:lang w:val="en-US"/>
              </w:rPr>
              <w:t>.” Accordingly, entities may choose not to include such assessments, provided they state the reasons for their exclusion.</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6ACA30E2" w:rsidR="00911F20" w:rsidRDefault="00871095"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69C2429D" w:rsidR="00911F20" w:rsidRDefault="00871095"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194450C" w:rsidR="00911F20" w:rsidRDefault="0024663C"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RPr="0024663C"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F0E5330" w:rsidR="009C4798" w:rsidRPr="0024663C" w:rsidRDefault="0065119F" w:rsidP="0024663C">
            <w:pPr>
              <w:jc w:val="both"/>
              <w:rPr>
                <w:lang w:val="en-US"/>
              </w:rPr>
            </w:pPr>
            <w:r w:rsidRPr="0024663C">
              <w:rPr>
                <w:lang w:val="en-US"/>
              </w:rPr>
              <w:t xml:space="preserve">Although the regulatory provisions do not specifically address the consequences of non-compliance, reference must be made to Article </w:t>
            </w:r>
            <w:r>
              <w:rPr>
                <w:lang w:val="en-US"/>
              </w:rPr>
              <w:t>53</w:t>
            </w:r>
            <w:r w:rsidRPr="0024663C">
              <w:rPr>
                <w:lang w:val="en-US"/>
              </w:rPr>
              <w:t xml:space="preserve"> of </w:t>
            </w:r>
            <w:r>
              <w:rPr>
                <w:lang w:val="en-US"/>
              </w:rPr>
              <w:t>Law 964 de 2005</w:t>
            </w:r>
            <w:r w:rsidRPr="0024663C">
              <w:rPr>
                <w:lang w:val="en-US"/>
              </w:rPr>
              <w:t xml:space="preserve">, which sets forth the following sanctions: </w:t>
            </w:r>
            <w:r w:rsidRPr="0023706B">
              <w:rPr>
                <w:lang w:val="en-US"/>
              </w:rPr>
              <w:t>warnings, monetary fines, temporary suspension or disqualification from management or control functions, removal from such positions, suspension or cancellation of registration in relevant securities market registries, and penalties for breaches of capital adequacy and foreign currency exposure limits. Sanctions may be imposed concurrently, provided their nature allows for such accumulation</w:t>
            </w:r>
            <w:r w:rsidR="0024663C" w:rsidRPr="0024663C">
              <w:rPr>
                <w:lang w:val="en-US"/>
              </w:rPr>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F734511"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618E4F7" w:rsidR="00C57511" w:rsidRPr="00FA0CF8" w:rsidRDefault="000E6079"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RPr="000E6079"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ADF77F6" w:rsidR="00654950" w:rsidRPr="000E6079" w:rsidRDefault="000E6079" w:rsidP="00DD3144">
            <w:pPr>
              <w:spacing w:line="276" w:lineRule="auto"/>
              <w:rPr>
                <w:color w:val="000000" w:themeColor="text1"/>
                <w:lang w:val="en-US"/>
              </w:rPr>
            </w:pPr>
            <w:r w:rsidRPr="000E6079">
              <w:rPr>
                <w:color w:val="000000" w:themeColor="text1"/>
                <w:lang w:val="en-US"/>
              </w:rPr>
              <w:t>The implementation by the entities to which the regulation is addressed may be evidenced through their investment policies, which are typically published and disclosed to the public.</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9B31243" w:rsidR="00CB1649" w:rsidRPr="00FA0CF8" w:rsidRDefault="0024663C" w:rsidP="00DD3144">
            <w:pPr>
              <w:spacing w:line="276" w:lineRule="auto"/>
              <w:rPr>
                <w:color w:val="000000" w:themeColor="text1"/>
              </w:rPr>
            </w:pPr>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184AD3FB"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5815805"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831311" w:rsidR="008063B5" w:rsidRDefault="000135D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0E1A933B"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185DC8A6" w:rsidR="00042406" w:rsidRDefault="000135D4"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5D989241" w:rsidR="00042406" w:rsidRDefault="000135D4"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12FA1AD" w:rsidR="00042406" w:rsidRDefault="000135D4"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6846A30" w:rsidR="00042406" w:rsidRDefault="00042406" w:rsidP="00DD3144"/>
        </w:tc>
        <w:tc>
          <w:tcPr>
            <w:tcW w:w="1890" w:type="dxa"/>
            <w:vAlign w:val="center"/>
          </w:tcPr>
          <w:p w14:paraId="02561B88" w14:textId="50EA9CD3" w:rsidR="00042406" w:rsidRDefault="009A7D20"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E8F5082" w:rsidR="00042406" w:rsidRDefault="000135D4"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B10661D" w:rsidR="00042406" w:rsidRDefault="000135D4"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F2A4D09" w:rsidR="00042406" w:rsidRDefault="000135D4"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F72619"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61213520" w:rsidR="00931F08" w:rsidRPr="00F72619" w:rsidRDefault="00931F08" w:rsidP="00F72619">
            <w:pPr>
              <w:jc w:val="both"/>
              <w:rPr>
                <w:lang w:val="en-US"/>
              </w:rPr>
            </w:pP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20003AF"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659A42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69F4ACAA"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6A90E300"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536170C2"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C8A7905"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C8F08FD" w:rsidR="00B0479E" w:rsidRDefault="00064474"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658A17D" w:rsidR="00EC42A1" w:rsidRDefault="00064474"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137E825" w:rsidR="00EC42A1" w:rsidRDefault="00064474"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28D17B9B" w:rsidR="00EC42A1" w:rsidRDefault="00064474"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077FAA93" w:rsidR="00484663" w:rsidRDefault="00064474"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7BF84E5" w:rsidR="00484663" w:rsidRDefault="00064474"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195A2793" w:rsidR="00484663" w:rsidRDefault="00064474"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189FD161" w:rsidR="00484663" w:rsidRDefault="00484663" w:rsidP="00E314AD">
            <w:pPr>
              <w:jc w:val="both"/>
            </w:pP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371E188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1EFEFC34"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4412C43C"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4CE3391C"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3DF3CBEE"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4BCE21CE"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DB53565"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0A349142"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5EC561E" w:rsidR="00484663" w:rsidRDefault="00B940D1" w:rsidP="00DD3144">
            <w:r>
              <w:t xml:space="preserve">Not applicable. </w:t>
            </w:r>
            <w:r w:rsidR="00067218">
              <w:t xml:space="preserve">The provisions </w:t>
            </w:r>
            <w:r w:rsidR="00067218" w:rsidRPr="00067218">
              <w:t>require entities</w:t>
            </w:r>
            <w:r w:rsidR="00067218">
              <w:t xml:space="preserve">, </w:t>
            </w:r>
            <w:r w:rsidR="00067218" w:rsidRPr="00067218">
              <w:t xml:space="preserve">in broad terms, to indicate in their investment policy whether the assessment of </w:t>
            </w:r>
            <w:r w:rsidR="00067218">
              <w:t xml:space="preserve">ESG </w:t>
            </w:r>
            <w:r w:rsidR="00067218" w:rsidRPr="00067218">
              <w:t>and climate-related risks is included, or to provide the reasons for their exclusion.</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806FE0C" w:rsidR="00DA416F" w:rsidRPr="00DD3144" w:rsidRDefault="00F74DCA"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F4CF94F" w:rsidR="00DA416F" w:rsidRPr="00DD3144" w:rsidRDefault="00F74DCA"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7053B90" w:rsidR="00DA416F" w:rsidRPr="00DD3144" w:rsidRDefault="00F74DCA"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ECB0ADC" w:rsidR="00DA416F" w:rsidRPr="00DD3144" w:rsidRDefault="00F74DCA"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E6C6406" w:rsidR="00DA416F" w:rsidRPr="00DD3144" w:rsidRDefault="00F74DCA"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F462CAB" w:rsidR="00DA416F" w:rsidRPr="00DD3144" w:rsidRDefault="00F74DCA"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22C8AF0" w:rsidR="00DA416F" w:rsidRPr="00DD3144" w:rsidRDefault="00F74DCA"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1DB0BD5" w:rsidR="00DA416F" w:rsidRPr="00DD3144" w:rsidRDefault="00F74DCA"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3C225DB" w:rsidR="00DA416F" w:rsidRPr="00DD3144" w:rsidRDefault="00F74DCA"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31C33AA" w:rsidR="00DA416F" w:rsidRPr="00DD3144" w:rsidRDefault="00F74DCA"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E2177A0" w:rsidR="00DA416F" w:rsidRPr="00DD3144" w:rsidRDefault="00F74DCA"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AB08B6A" w:rsidR="00DA416F" w:rsidRPr="00DD3144" w:rsidRDefault="00F74DCA"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7441B11" w:rsidR="00DA416F" w:rsidRPr="00DD3144" w:rsidRDefault="00F74DCA"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2ACF8D6" w:rsidR="00DA416F" w:rsidRPr="00DD3144" w:rsidRDefault="00064474"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D653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D653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D653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4D3582D" w:rsidR="00D4323A" w:rsidRPr="00CF2E7C" w:rsidRDefault="00D41DE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AEA9655" w:rsidR="00D4323A" w:rsidRPr="00CF2E7C" w:rsidRDefault="00D41DE7"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4960881" w:rsidR="00D4323A" w:rsidRPr="00CF2E7C" w:rsidRDefault="00D41DE7"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AD11D98" w:rsidR="00D4323A" w:rsidRPr="00CF2E7C" w:rsidRDefault="00D41DE7"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3693D2A" w:rsidR="00D4323A" w:rsidRPr="00CF2E7C" w:rsidRDefault="00D41DE7"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75C524B" w:rsidR="00D4323A" w:rsidRPr="00CF2E7C" w:rsidRDefault="00D41DE7"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BCDDF82" w:rsidR="00D4323A" w:rsidRPr="00CF2E7C" w:rsidRDefault="00D41DE7"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54047D61" w:rsidR="00D4323A" w:rsidRPr="00CF2E7C" w:rsidRDefault="00D41DE7"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B4AD585" w:rsidR="00D4323A" w:rsidRPr="00CF2E7C" w:rsidRDefault="00D41DE7"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10EE1CA5" w:rsidR="00D4323A" w:rsidRPr="00CF2E7C" w:rsidRDefault="00D41DE7"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19CDAACE" w:rsidR="00D4323A" w:rsidRPr="00CF2E7C" w:rsidRDefault="00D41DE7"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21E518B" w:rsidR="00D4323A" w:rsidRPr="00CF2E7C" w:rsidRDefault="00D41DE7"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30D2F9B1" w:rsidR="00D4323A" w:rsidRPr="00CF2E7C" w:rsidRDefault="00064474"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6B6681BB" w:rsidR="00DD292A" w:rsidRPr="00CF2E7C" w:rsidRDefault="00D41DE7"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02AF785" w:rsidR="00DD292A" w:rsidRPr="00CF2E7C" w:rsidRDefault="00D41DE7"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568BE0AA" w:rsidR="00DD292A" w:rsidRPr="00CF2E7C" w:rsidRDefault="00D41DE7"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19F075BA"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8E10F1A" w:rsidR="00DD292A" w:rsidRPr="00CF2E7C" w:rsidRDefault="00035C37"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F69D3B3" w:rsidR="00DD292A" w:rsidRPr="00CF2E7C" w:rsidRDefault="00D41DE7"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28C1CDE0" w:rsidR="00DD292A" w:rsidRPr="00CF2E7C" w:rsidRDefault="00064474"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2E03C44C" w:rsidR="00DD292A" w:rsidRPr="00CF2E7C" w:rsidRDefault="00064474"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618E5ABE" w:rsidR="00DD292A" w:rsidRPr="00CF2E7C" w:rsidRDefault="00064474"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2D3C21A3" w:rsidR="00DD292A" w:rsidRPr="00CF2E7C" w:rsidRDefault="00064474"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6E3324B" w:rsidR="00DD292A" w:rsidRPr="00CF2E7C" w:rsidRDefault="00064474"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050D5D69" w:rsidR="00DD292A" w:rsidRPr="00CF2E7C" w:rsidRDefault="00064474"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6CC549DA" w:rsidR="00DD292A" w:rsidRPr="00CF2E7C" w:rsidRDefault="00064474"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67AF1FB0" w:rsidR="00DD292A" w:rsidRPr="00CF2E7C" w:rsidRDefault="00064474"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445F8791" w:rsidR="00DD292A" w:rsidRPr="00CF2E7C" w:rsidRDefault="00064474"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1FE09D58" w:rsidR="00DD292A" w:rsidRPr="00CF2E7C" w:rsidRDefault="00064474"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7010061" w:rsidR="00DD292A" w:rsidRPr="00CF2E7C" w:rsidRDefault="00064474"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4C7840AF" w:rsidR="00DD292A" w:rsidRPr="00CF2E7C" w:rsidRDefault="00064474"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3C56634C" w:rsidR="00DD292A" w:rsidRPr="00CF2E7C" w:rsidRDefault="00064474"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592C3FC3" w:rsidR="00DD292A" w:rsidRPr="00CF2E7C" w:rsidRDefault="00064474"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1196FDED" w:rsidR="00DD292A" w:rsidRPr="00CF2E7C" w:rsidRDefault="00064474"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89817A8" w:rsidR="00DD292A" w:rsidRPr="00CF2E7C" w:rsidRDefault="00064474"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2DD06877" w:rsidR="00DD292A" w:rsidRPr="00CF2E7C" w:rsidRDefault="00064474"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2F446E4E" w:rsidR="00DD292A" w:rsidRPr="00CF2E7C" w:rsidRDefault="00064474"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6F486E57" w:rsidR="00DD292A" w:rsidRPr="00CF2E7C" w:rsidRDefault="00064474"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48BDEECD" w:rsidR="00DD292A" w:rsidRPr="00CF2E7C" w:rsidRDefault="00064474"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397EF73B" w:rsidR="00DD292A" w:rsidRPr="00CF2E7C" w:rsidRDefault="00064474"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56DF5438" w:rsidR="00DD292A" w:rsidRPr="00CF2E7C" w:rsidRDefault="00064474"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5D5DD066"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310B4FD" w:rsidR="00DD292A" w:rsidRPr="00CF2E7C" w:rsidRDefault="00064474"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5E1F76EE"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16031D93" w:rsidR="00DD292A" w:rsidRPr="00CF2E7C" w:rsidRDefault="00035C37" w:rsidP="00CF2E7C">
            <w:pPr>
              <w:rPr>
                <w:rFonts w:ascii="Calibri" w:hAnsi="Calibri" w:cs="Calibri"/>
              </w:rPr>
            </w:pPr>
            <w:r w:rsidRPr="00871095">
              <w:rPr>
                <w:lang w:val="en-US"/>
              </w:rPr>
              <w:t xml:space="preserve">Although the entities to which CFS EC 007 of 2021, as integrated into CFS EC 006 of 2025, is addressed belong to the "financial and insurance activities" sector, the regulation was not issued based on the sector in which certain entities carry out their corporate purpose. On the </w:t>
            </w:r>
            <w:r w:rsidRPr="00871095">
              <w:rPr>
                <w:lang w:val="en-US"/>
              </w:rPr>
              <w:lastRenderedPageBreak/>
              <w:t>contrary, the regulation was specifically issued to target insurance entities, capitalization companies, and pension and severance fund management companies.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E13D3B5"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0392A8C4" w:rsidR="00DD292A" w:rsidRPr="00CF2E7C" w:rsidRDefault="00064474" w:rsidP="00CF2E7C">
            <w:pPr>
              <w:rPr>
                <w:rFonts w:ascii="Calibri" w:hAnsi="Calibri" w:cs="Calibri"/>
              </w:rPr>
            </w:pPr>
            <w:r>
              <w:t>I</w:t>
            </w:r>
            <w:r w:rsidRPr="00064474">
              <w:t>nsurance entities, capitalization companies, and pension and severance fund management companies subject to the inspection and supervision of the SFC</w:t>
            </w:r>
            <w:r>
              <w: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F9C194C"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22837BE3" w:rsidR="00DD292A" w:rsidRPr="00CF2E7C" w:rsidRDefault="00035C37" w:rsidP="00CF2E7C">
            <w:pPr>
              <w:rPr>
                <w:rFonts w:ascii="Calibri" w:hAnsi="Calibri" w:cs="Calibri"/>
              </w:rPr>
            </w:pPr>
            <w:r w:rsidRPr="00871095">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008EF8E1" w:rsidR="00DD292A" w:rsidRPr="00CF2E7C" w:rsidRDefault="00035C37" w:rsidP="00035C37">
            <w:pPr>
              <w:jc w:val="both"/>
              <w:rPr>
                <w:rFonts w:ascii="Calibri" w:hAnsi="Calibri" w:cs="Calibri"/>
              </w:rPr>
            </w:pPr>
            <w:r w:rsidRPr="00871095">
              <w:rPr>
                <w:lang w:val="en-US"/>
              </w:rPr>
              <w:t>The regulatory provisions related to investment policy and governance typically include language such as the following: “</w:t>
            </w:r>
            <w:r w:rsidRPr="00871095">
              <w:rPr>
                <w:i/>
                <w:iCs/>
                <w:lang w:val="en-US"/>
              </w:rPr>
              <w:t>companies must indicate in their investment policy whether they include the assessment of environmental, social, and corporate governance (ESG) and climate-related risks, or the reasons why such assessments are not included</w:t>
            </w:r>
            <w:r w:rsidRPr="00871095">
              <w:rPr>
                <w:lang w:val="en-US"/>
              </w:rPr>
              <w:t>.” Accordingly, entities may choose not to include such assessments, provided they state the reasons for their exclusion</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4CA33FA8" w:rsidR="00DD3B33" w:rsidRPr="00CF2E7C" w:rsidRDefault="006A2418" w:rsidP="00CF2E7C">
            <w:pPr>
              <w:rPr>
                <w:rFonts w:ascii="Calibri" w:hAnsi="Calibri" w:cs="Calibri"/>
              </w:rPr>
            </w:pPr>
            <w: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lastRenderedPageBreak/>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9E5A00C" w:rsidR="00DD3B33" w:rsidRPr="00CF2E7C" w:rsidRDefault="006A2418" w:rsidP="00CF2E7C">
            <w:pPr>
              <w:rPr>
                <w:rFonts w:ascii="Calibri" w:hAnsi="Calibri" w:cs="Calibri"/>
              </w:rPr>
            </w:pPr>
            <w: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FB2E29A" w:rsidR="00DD3B33" w:rsidRPr="00CF2E7C" w:rsidRDefault="006A2418" w:rsidP="00CF2E7C">
            <w:pPr>
              <w:rPr>
                <w:rFonts w:ascii="Calibri" w:hAnsi="Calibri" w:cs="Calibri"/>
              </w:rPr>
            </w:pPr>
            <w: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664AADC2" w:rsidR="00DD3B33" w:rsidRPr="00CF2E7C" w:rsidRDefault="006A2418" w:rsidP="00CF2E7C">
            <w:pPr>
              <w:rPr>
                <w:rFonts w:ascii="Calibri" w:hAnsi="Calibri" w:cs="Calibri"/>
              </w:rPr>
            </w:pPr>
            <w:r w:rsidRPr="0024663C">
              <w:rPr>
                <w:lang w:val="en-US"/>
              </w:rPr>
              <w:t>Although the regulatory provisions do not specifically address the consequences of non-compliance, reference must be made to paragraph 3 of Article 208 of the Organic Statute of the Financial System (</w:t>
            </w:r>
            <w:r w:rsidRPr="0024663C">
              <w:rPr>
                <w:i/>
                <w:iCs/>
                <w:lang w:val="en-US"/>
              </w:rPr>
              <w:t>Estatuto Orgánico del Sistema Financiero</w:t>
            </w:r>
            <w:r w:rsidRPr="0024663C">
              <w:rPr>
                <w:lang w:val="en-US"/>
              </w:rPr>
              <w:t>), which sets forth the following sanctions: (i) admonishment or warning; (ii) monetary fine; (iii) suspension or disqualification from positions requiring authorization by the SFC; and (iv) removal of administrators.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4332A34"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29E6DA85" w:rsidR="00DD292A" w:rsidRPr="00CF2E7C" w:rsidRDefault="000E6079" w:rsidP="00CF2E7C">
            <w:pPr>
              <w:rPr>
                <w:rFonts w:ascii="Calibri" w:hAnsi="Calibri" w:cs="Calibri"/>
              </w:rPr>
            </w:pPr>
            <w: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2C61277E" w:rsidR="00DD292A" w:rsidRPr="00CF2E7C" w:rsidRDefault="000E6079" w:rsidP="00CF2E7C">
            <w:pPr>
              <w:rPr>
                <w:rFonts w:ascii="Calibri" w:hAnsi="Calibri" w:cs="Calibri"/>
              </w:rPr>
            </w:pPr>
            <w:r w:rsidRPr="000E6079">
              <w:rPr>
                <w:rFonts w:ascii="Calibri" w:hAnsi="Calibri" w:cs="Calibri"/>
              </w:rPr>
              <w:t>The implementation by the entities to which the regulation is addressed may be evidenced through their investment policies, which are typically published and disclosed to the public.</w:t>
            </w:r>
            <w:r w:rsidR="00064474">
              <w:rPr>
                <w:rFonts w:ascii="Calibri" w:hAnsi="Calibri" w:cs="Calibri"/>
              </w:rPr>
              <w:t xml:space="preserve">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lastRenderedPageBreak/>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020C591" w:rsidR="00DD292A" w:rsidRPr="00CF2E7C" w:rsidRDefault="006A2418" w:rsidP="00CF2E7C">
            <w:pPr>
              <w:rPr>
                <w:rFonts w:ascii="Calibri" w:hAnsi="Calibri" w:cs="Calibri"/>
              </w:rPr>
            </w:pPr>
            <w: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2634E0C5"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C5AFA57" w:rsidR="00DD292A" w:rsidRPr="00CF2E7C" w:rsidRDefault="006A2418" w:rsidP="00CF2E7C">
            <w:pPr>
              <w:rPr>
                <w:rFonts w:ascii="Calibri" w:hAnsi="Calibri" w:cs="Calibri"/>
              </w:rPr>
            </w:pPr>
            <w:r>
              <w:rPr>
                <w:color w:val="000000" w:themeColor="text1"/>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559FB0CB"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5D809CC" w:rsidR="00410853" w:rsidRPr="00CF2E7C" w:rsidRDefault="006A2418" w:rsidP="006A241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32B13B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71185741"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304C5C5" w:rsidR="00F632FB" w:rsidRPr="00CF2E7C" w:rsidRDefault="006A241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639D0FC" w:rsidR="00F632FB" w:rsidRPr="00CF2E7C" w:rsidRDefault="006A241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25DA911" w:rsidR="00F632FB" w:rsidRPr="00CF2E7C" w:rsidRDefault="006A241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251F92F" w:rsidR="008C4722" w:rsidRPr="00CF2E7C" w:rsidRDefault="00011B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DD135DF" w:rsidR="008C4722" w:rsidRPr="00CF2E7C" w:rsidRDefault="00011B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4C9BDBF4" w:rsidR="008C4722" w:rsidRPr="00CF2E7C" w:rsidRDefault="00011B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D947E7"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CA5FF6" w14:textId="4E32DACC" w:rsidR="00D947E7" w:rsidRPr="00D947E7" w:rsidRDefault="00D947E7" w:rsidP="00D947E7">
            <w:pPr>
              <w:jc w:val="both"/>
              <w:textAlignment w:val="baseline"/>
              <w:rPr>
                <w:rFonts w:ascii="Calibri" w:eastAsia="Times New Roman" w:hAnsi="Calibri" w:cs="Calibri"/>
                <w:kern w:val="0"/>
                <w:lang w:val="en-US" w:eastAsia="en-GB"/>
                <w14:ligatures w14:val="none"/>
              </w:rPr>
            </w:pPr>
            <w:r w:rsidRPr="00D947E7">
              <w:rPr>
                <w:rFonts w:ascii="Calibri" w:eastAsia="Times New Roman" w:hAnsi="Calibri" w:cs="Calibri"/>
                <w:kern w:val="0"/>
                <w:lang w:val="en-US" w:eastAsia="en-GB"/>
                <w14:ligatures w14:val="none"/>
              </w:rPr>
              <w:t>Chapter IV, Title III, Part II of the CBJ, in addressing the content of the investment policy to be disclosed, includes:</w:t>
            </w:r>
            <w:r>
              <w:rPr>
                <w:rFonts w:ascii="Calibri" w:eastAsia="Times New Roman" w:hAnsi="Calibri" w:cs="Calibri"/>
                <w:kern w:val="0"/>
                <w:lang w:val="en-US" w:eastAsia="en-GB"/>
                <w14:ligatures w14:val="none"/>
              </w:rPr>
              <w:t xml:space="preserve"> </w:t>
            </w:r>
            <w:r w:rsidRPr="00D947E7">
              <w:rPr>
                <w:rFonts w:ascii="Calibri" w:eastAsia="Times New Roman" w:hAnsi="Calibri" w:cs="Calibri"/>
                <w:kern w:val="0"/>
                <w:lang w:val="en-US" w:eastAsia="en-GB"/>
                <w14:ligatures w14:val="none"/>
              </w:rPr>
              <w:t>Section 2.1.1.2 on organizational structure, which must include “</w:t>
            </w:r>
            <w:r w:rsidRPr="00D947E7">
              <w:rPr>
                <w:rFonts w:ascii="Calibri" w:eastAsia="Times New Roman" w:hAnsi="Calibri" w:cs="Calibri"/>
                <w:i/>
                <w:iCs/>
                <w:kern w:val="0"/>
                <w:lang w:val="en-US" w:eastAsia="en-GB"/>
                <w14:ligatures w14:val="none"/>
              </w:rPr>
              <w:t>the roles and/or responsibilities for the management of environmental, social, and governance (ESG) and climate-related risks</w:t>
            </w:r>
            <w:r w:rsidRPr="00D947E7">
              <w:rPr>
                <w:rFonts w:ascii="Calibri" w:eastAsia="Times New Roman" w:hAnsi="Calibri" w:cs="Calibri"/>
                <w:kern w:val="0"/>
                <w:lang w:val="en-US" w:eastAsia="en-GB"/>
                <w14:ligatures w14:val="none"/>
              </w:rPr>
              <w:t>.” This provision expressly differentiates ESG risks from climate-related risks. A similar approach is also reflected in Sections 2.1.1.9, 2.1.1.11.1, and 2.1.1.11.2.</w:t>
            </w:r>
          </w:p>
          <w:p w14:paraId="4B0D75B4" w14:textId="1000AFB6" w:rsidR="00D947E7" w:rsidRPr="00D947E7" w:rsidRDefault="00D947E7" w:rsidP="00D947E7">
            <w:pPr>
              <w:jc w:val="both"/>
              <w:textAlignment w:val="baseline"/>
              <w:rPr>
                <w:rFonts w:ascii="Calibri" w:eastAsia="Times New Roman" w:hAnsi="Calibri" w:cs="Calibri"/>
                <w:kern w:val="0"/>
                <w:lang w:val="en-US" w:eastAsia="en-GB"/>
                <w14:ligatures w14:val="none"/>
              </w:rPr>
            </w:pPr>
            <w:r w:rsidRPr="00D947E7">
              <w:rPr>
                <w:rFonts w:ascii="Calibri" w:eastAsia="Times New Roman" w:hAnsi="Calibri" w:cs="Calibri"/>
                <w:kern w:val="0"/>
                <w:lang w:val="en-US" w:eastAsia="en-GB"/>
                <w14:ligatures w14:val="none"/>
              </w:rPr>
              <w:t>Likewise, Section 3.4.1.10 of Chapter I, Title IV, Part II of the CBJ, regarding the investment policy of capitalization companies, provides that such entities must assess the inclusion of “</w:t>
            </w:r>
            <w:r w:rsidRPr="00D947E7">
              <w:rPr>
                <w:rFonts w:ascii="Calibri" w:eastAsia="Times New Roman" w:hAnsi="Calibri" w:cs="Calibri"/>
                <w:i/>
                <w:iCs/>
                <w:kern w:val="0"/>
                <w:lang w:val="en-US" w:eastAsia="en-GB"/>
                <w14:ligatures w14:val="none"/>
              </w:rPr>
              <w:t>the evaluation of environmental, social, and governance (ESG) and climate-related risks, or the reasons for their exclusion</w:t>
            </w:r>
            <w:r w:rsidRPr="00D947E7">
              <w:rPr>
                <w:rFonts w:ascii="Calibri" w:eastAsia="Times New Roman" w:hAnsi="Calibri" w:cs="Calibri"/>
                <w:kern w:val="0"/>
                <w:lang w:val="en-US" w:eastAsia="en-GB"/>
                <w14:ligatures w14:val="none"/>
              </w:rPr>
              <w:t>.” Again, a clear distinction is made between ESG and climate-related risks.</w:t>
            </w:r>
          </w:p>
          <w:p w14:paraId="39FC6AFA" w14:textId="5E695AE6" w:rsidR="006508E0" w:rsidRPr="00D947E7" w:rsidRDefault="00D947E7" w:rsidP="00D947E7">
            <w:pPr>
              <w:pBdr>
                <w:left w:val="single" w:sz="4" w:space="4" w:color="auto"/>
              </w:pBdr>
              <w:jc w:val="both"/>
              <w:rPr>
                <w:rFonts w:cs="Arial"/>
                <w:b/>
                <w:bCs/>
                <w:sz w:val="16"/>
                <w:szCs w:val="16"/>
                <w:lang w:val="en-US"/>
              </w:rPr>
            </w:pPr>
            <w:r w:rsidRPr="00D947E7">
              <w:rPr>
                <w:rFonts w:ascii="Calibri" w:eastAsia="Times New Roman" w:hAnsi="Calibri" w:cs="Calibri"/>
                <w:kern w:val="0"/>
                <w:lang w:val="en-US" w:eastAsia="en-GB"/>
                <w14:ligatures w14:val="none"/>
              </w:rPr>
              <w:t>Finally, Section 1.10 of Chapter II, Title IV, Part II of the CBJ refers to the content of the investment policy, which, in accordance with Annex 15, must include “(…) the evaluation of environmental, social, and governance (ESG) and climate-related risks, or the reasons for their exclusion.” As such, the regulation consistently distinguishes between ESG and climate-related risks.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561864E" w:rsidR="008C4722" w:rsidRPr="00CF2E7C" w:rsidRDefault="00D947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969FFC2" w:rsidR="007B7DEE" w:rsidRPr="00CF2E7C" w:rsidRDefault="00D947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42856967" w:rsidR="00ED7E12" w:rsidRPr="00CF2E7C" w:rsidRDefault="00D947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1329698A" w:rsidR="00ED7E12" w:rsidRPr="00CF2E7C" w:rsidRDefault="00D947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6C293CC" w:rsidR="00ED7E12" w:rsidRPr="00CF2E7C" w:rsidRDefault="00D947E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2E3926"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7C5D037" w:rsidR="002E3926" w:rsidRPr="002E3926" w:rsidRDefault="002E3926" w:rsidP="002E3926">
            <w:pPr>
              <w:jc w:val="both"/>
              <w:textAlignment w:val="baseline"/>
              <w:rPr>
                <w:rFonts w:ascii="Calibri" w:eastAsia="Times New Roman" w:hAnsi="Calibri" w:cs="Calibri"/>
                <w:kern w:val="0"/>
                <w:lang w:val="en-US" w:eastAsia="en-GB"/>
                <w14:ligatures w14:val="none"/>
              </w:rPr>
            </w:pPr>
            <w:r w:rsidRPr="002E3926">
              <w:rPr>
                <w:rFonts w:ascii="Calibri" w:eastAsia="Times New Roman" w:hAnsi="Calibri" w:cs="Calibri"/>
                <w:kern w:val="0"/>
                <w:lang w:val="en-US" w:eastAsia="en-GB"/>
                <w14:ligatures w14:val="none"/>
              </w:rPr>
              <w:t>Entities are required to include in their investment policy “</w:t>
            </w:r>
            <w:r w:rsidRPr="002E3926">
              <w:rPr>
                <w:rFonts w:ascii="Calibri" w:eastAsia="Times New Roman" w:hAnsi="Calibri" w:cs="Calibri"/>
                <w:i/>
                <w:iCs/>
                <w:kern w:val="0"/>
                <w:lang w:val="en-US" w:eastAsia="en-GB"/>
                <w14:ligatures w14:val="none"/>
              </w:rPr>
              <w:t>the mechanisms for the identification, measurement, control, and monitoring of risks</w:t>
            </w:r>
            <w:r w:rsidRPr="002E3926">
              <w:rPr>
                <w:rFonts w:ascii="Calibri" w:eastAsia="Times New Roman" w:hAnsi="Calibri" w:cs="Calibri"/>
                <w:kern w:val="0"/>
                <w:lang w:val="en-US" w:eastAsia="en-GB"/>
                <w14:ligatures w14:val="none"/>
              </w:rPr>
              <w:t>,” as set forth in Section 3.4.1.12 of Chapter I, Title IV, Part II of the CBJ. In turn, Section 2.1.1.11.2.5 of Chapter IV, Title III, Part II requires entities to include “</w:t>
            </w:r>
            <w:r w:rsidRPr="002E3926">
              <w:rPr>
                <w:rFonts w:ascii="Calibri" w:eastAsia="Times New Roman" w:hAnsi="Calibri" w:cs="Calibri"/>
                <w:i/>
                <w:iCs/>
                <w:kern w:val="0"/>
                <w:lang w:val="en-US" w:eastAsia="en-GB"/>
                <w14:ligatures w14:val="none"/>
              </w:rPr>
              <w:t>the stages, responsible parties, and the estimated timeline for the integration of these [risks] into the investment process, as well as for the definition of the mechanisms for their identification, measurement, control, and monitoring</w:t>
            </w:r>
            <w:r w:rsidRPr="002E3926">
              <w:rPr>
                <w:rFonts w:ascii="Calibri" w:eastAsia="Times New Roman" w:hAnsi="Calibri" w:cs="Calibri"/>
                <w:kern w:val="0"/>
                <w:lang w:val="en-US" w:eastAsia="en-GB"/>
                <w14:ligatures w14:val="none"/>
              </w:rPr>
              <w:t>.”</w:t>
            </w:r>
            <w:r>
              <w:rPr>
                <w:rFonts w:ascii="Calibri" w:eastAsia="Times New Roman" w:hAnsi="Calibri" w:cs="Calibri"/>
                <w:kern w:val="0"/>
                <w:lang w:val="en-US" w:eastAsia="en-GB"/>
                <w14:ligatures w14:val="none"/>
              </w:rPr>
              <w:t xml:space="preserve"> </w:t>
            </w:r>
            <w:r w:rsidRPr="002E3926">
              <w:rPr>
                <w:rFonts w:ascii="Calibri" w:eastAsia="Times New Roman" w:hAnsi="Calibri" w:cs="Calibri"/>
                <w:kern w:val="0"/>
                <w:lang w:val="en-US" w:eastAsia="en-GB"/>
                <w14:ligatures w14:val="none"/>
              </w:rPr>
              <w:t>Finally, Section 1.10 of Annex 15 provides that “</w:t>
            </w:r>
            <w:r w:rsidRPr="002E3926">
              <w:rPr>
                <w:rFonts w:ascii="Calibri" w:eastAsia="Times New Roman" w:hAnsi="Calibri" w:cs="Calibri"/>
                <w:i/>
                <w:iCs/>
                <w:kern w:val="0"/>
                <w:lang w:val="en-US" w:eastAsia="en-GB"/>
                <w14:ligatures w14:val="none"/>
              </w:rPr>
              <w:t xml:space="preserve">insurance entities must indicate in their investment policy whether they include the </w:t>
            </w:r>
            <w:r w:rsidRPr="002E3926">
              <w:rPr>
                <w:rFonts w:ascii="Calibri" w:eastAsia="Times New Roman" w:hAnsi="Calibri" w:cs="Calibri"/>
                <w:i/>
                <w:iCs/>
                <w:kern w:val="0"/>
                <w:lang w:val="en-US" w:eastAsia="en-GB"/>
                <w14:ligatures w14:val="none"/>
              </w:rPr>
              <w:lastRenderedPageBreak/>
              <w:t>assessment of environmental, social, and governance (ESG) and climate-related risks, or the reasons for their exclusion</w:t>
            </w:r>
            <w:r w:rsidRPr="002E3926">
              <w:rPr>
                <w:rFonts w:ascii="Calibri" w:eastAsia="Times New Roman" w:hAnsi="Calibri" w:cs="Calibri"/>
                <w:kern w:val="0"/>
                <w:lang w:val="en-US" w:eastAsia="en-GB"/>
                <w14:ligatures w14:val="none"/>
              </w:rPr>
              <w:t>.”</w:t>
            </w:r>
          </w:p>
        </w:tc>
      </w:tr>
    </w:tbl>
    <w:p w14:paraId="2BFD1AC8" w14:textId="0A206E4F" w:rsidR="00702413" w:rsidRPr="002E3926" w:rsidRDefault="00702413" w:rsidP="00702413">
      <w:pPr>
        <w:textAlignment w:val="baseline"/>
        <w:rPr>
          <w:rFonts w:eastAsia="Times New Roman" w:cstheme="minorHAnsi"/>
          <w:kern w:val="0"/>
          <w:lang w:val="en-US"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2468D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392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2225F80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3926" w:rsidRPr="00CF2E7C">
              <w:rPr>
                <w:rFonts w:ascii="Calibri" w:eastAsia="Times New Roman" w:hAnsi="Calibri" w:cs="Calibri"/>
                <w:kern w:val="0"/>
                <w:lang w:eastAsia="en-GB"/>
                <w14:ligatures w14:val="none"/>
              </w:rPr>
              <w:t> </w:t>
            </w:r>
            <w:r w:rsidR="002E3926">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CFC890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392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010A23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3926"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A7E055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3926">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8C766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3926">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A277A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3926">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6A4E43A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64474">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752D57FC" w:rsidR="00C82860" w:rsidRPr="00CF2E7C" w:rsidRDefault="002E39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84B63"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C56C952" w14:textId="0771C0A1" w:rsidR="00984B63" w:rsidRPr="00984B63" w:rsidRDefault="00984B63" w:rsidP="00984B63">
            <w:pPr>
              <w:jc w:val="both"/>
              <w:textAlignment w:val="baseline"/>
              <w:rPr>
                <w:rFonts w:ascii="Calibri" w:eastAsia="Times New Roman" w:hAnsi="Calibri" w:cs="Calibri"/>
                <w:kern w:val="0"/>
                <w:lang w:val="en-US" w:eastAsia="en-GB"/>
                <w14:ligatures w14:val="none"/>
              </w:rPr>
            </w:pPr>
            <w:r w:rsidRPr="00984B63">
              <w:rPr>
                <w:rFonts w:ascii="Calibri" w:eastAsia="Times New Roman" w:hAnsi="Calibri" w:cs="Calibri"/>
                <w:kern w:val="0"/>
                <w:lang w:val="en-US" w:eastAsia="en-GB"/>
                <w14:ligatures w14:val="none"/>
              </w:rPr>
              <w:t>Section 2.14 of Annex 15, which details the investment policy requirements for insurance entities, establishes that, in relation to investment governance, the investment policy must assign to a previously designated area or committee the function of: “</w:t>
            </w:r>
            <w:r w:rsidRPr="00984B63">
              <w:rPr>
                <w:rFonts w:ascii="Calibri" w:eastAsia="Times New Roman" w:hAnsi="Calibri" w:cs="Calibri"/>
                <w:i/>
                <w:iCs/>
                <w:kern w:val="0"/>
                <w:lang w:val="en-US" w:eastAsia="en-GB"/>
                <w14:ligatures w14:val="none"/>
              </w:rPr>
              <w:t>Reporting to the board of directors, with the frequency established by the investment policy, on ESG and climate-related matters and risks. This function must only be assigned if the insurance entity decides to incorporate such analyses within the framework of its investment policy</w:t>
            </w:r>
            <w:r w:rsidRPr="00984B63">
              <w:rPr>
                <w:rFonts w:ascii="Calibri" w:eastAsia="Times New Roman" w:hAnsi="Calibri" w:cs="Calibri"/>
                <w:kern w:val="0"/>
                <w:lang w:val="en-US" w:eastAsia="en-GB"/>
                <w14:ligatures w14:val="none"/>
              </w:rPr>
              <w:t>.”</w:t>
            </w:r>
          </w:p>
          <w:p w14:paraId="4DEB14D8" w14:textId="187624E2" w:rsidR="001E4791" w:rsidRPr="00984B63" w:rsidRDefault="00984B63" w:rsidP="00984B63">
            <w:pPr>
              <w:jc w:val="both"/>
              <w:textAlignment w:val="baseline"/>
              <w:rPr>
                <w:rFonts w:ascii="Calibri" w:eastAsia="Times New Roman" w:hAnsi="Calibri" w:cs="Calibri"/>
                <w:kern w:val="0"/>
                <w:lang w:val="en-US" w:eastAsia="en-GB"/>
                <w14:ligatures w14:val="none"/>
              </w:rPr>
            </w:pPr>
            <w:r w:rsidRPr="00984B63">
              <w:rPr>
                <w:rFonts w:ascii="Calibri" w:eastAsia="Times New Roman" w:hAnsi="Calibri" w:cs="Calibri"/>
                <w:kern w:val="0"/>
                <w:lang w:val="en-US" w:eastAsia="en-GB"/>
                <w14:ligatures w14:val="none"/>
              </w:rPr>
              <w:t xml:space="preserve">Likewise, as part of the minimum content of investment policies applicable to the management of mandatory pension funds and severance portfolios, Section 2.1.1.2 of Chapter IV, Title III, Part II requires the definition of an organizational structure for investment management and risk oversight, including roles and responsibilities for the management of ESG, corporate governance, and climate-related factors. Furthermore, the regulation mandates the establishment of professional qualification requirements for both internal and external personnel, specifically in relation to ESG risk factors and opportunities.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45A30B0" w:rsidR="00C82860" w:rsidRPr="00CF2E7C" w:rsidRDefault="00984B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30ABCB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84B63">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6DF7483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84B63">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29B6B7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84B63">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F7647E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84B63">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5786F4D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64474">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6A0DAA0"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CA62DD"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7DB40185"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CA62DD" w:rsidRPr="00CF2E7C" w:rsidRDefault="00CA62DD" w:rsidP="00CA62DD">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CA62DD"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CA62DD" w:rsidRPr="00CF2E7C" w:rsidRDefault="00CA62DD" w:rsidP="00CA62D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CA62DD" w:rsidRPr="00CF2E7C" w:rsidRDefault="00CA62DD" w:rsidP="00CA62D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CA62DD" w:rsidRPr="00CF2E7C" w:rsidRDefault="00CA62DD" w:rsidP="00CA62D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CA62DD"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Pr="00CF2E7C">
              <w:rPr>
                <w:rFonts w:ascii="Calibri" w:hAnsi="Calibri" w:cs="Calibri"/>
              </w:rPr>
              <w:t xml:space="preserve"> Select the appropriate response using an X.   </w:t>
            </w:r>
          </w:p>
        </w:tc>
      </w:tr>
      <w:tr w:rsidR="00CA62D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 xml:space="preserve">?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A62D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CA62DD" w:rsidRPr="00CF2E7C" w:rsidRDefault="00CA62DD" w:rsidP="00CA62DD">
            <w:pPr>
              <w:textAlignment w:val="baseline"/>
              <w:rPr>
                <w:rFonts w:ascii="Calibri" w:eastAsia="Times New Roman" w:hAnsi="Calibri" w:cs="Calibri"/>
                <w:kern w:val="0"/>
                <w:lang w:eastAsia="en-GB"/>
                <w14:ligatures w14:val="none"/>
              </w:rPr>
            </w:pPr>
          </w:p>
        </w:tc>
      </w:tr>
      <w:tr w:rsidR="00CA62D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CA62DD" w:rsidRPr="00CF2E7C" w:rsidRDefault="00CA62DD" w:rsidP="00CA62DD">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A62D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CA62DD" w:rsidRPr="00CF2E7C" w:rsidRDefault="00CA62DD" w:rsidP="00CA62D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CA62DD" w:rsidRPr="00CF2E7C" w:rsidRDefault="00CA62DD" w:rsidP="00CA62DD">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18026F3" w:rsidR="00702413" w:rsidRPr="009C4D10" w:rsidRDefault="00C6593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7700D" w14:textId="77777777" w:rsidR="00702413" w:rsidRDefault="0039730A" w:rsidP="0039730A">
            <w:pPr>
              <w:jc w:val="both"/>
              <w:textAlignment w:val="baseline"/>
              <w:rPr>
                <w:rFonts w:eastAsia="Times New Roman" w:cstheme="minorHAnsi"/>
                <w:kern w:val="0"/>
                <w:lang w:eastAsia="en-GB"/>
                <w14:ligatures w14:val="none"/>
              </w:rPr>
            </w:pPr>
            <w:r w:rsidRPr="0039730A">
              <w:rPr>
                <w:rFonts w:eastAsia="Times New Roman" w:cstheme="minorHAnsi"/>
                <w:kern w:val="0"/>
                <w:lang w:eastAsia="en-GB"/>
                <w14:ligatures w14:val="none"/>
              </w:rPr>
              <w:t>For insurance companies and capitalization societies, the inclusion of climate-related financial risks (as part of environmental, social, and governance—ESG—factors) in investment policies is not mandatory. The regulations require entities to state whether they include climate and ESG risk assessments in their investment policies, or to explain the reasons for not doing so</w:t>
            </w:r>
            <w:r>
              <w:rPr>
                <w:rFonts w:eastAsia="Times New Roman" w:cstheme="minorHAnsi"/>
                <w:kern w:val="0"/>
                <w:lang w:eastAsia="en-GB"/>
                <w14:ligatures w14:val="none"/>
              </w:rPr>
              <w:t>.</w:t>
            </w:r>
            <w:r w:rsidRPr="0039730A">
              <w:rPr>
                <w:rFonts w:eastAsia="Times New Roman" w:cstheme="minorHAnsi"/>
                <w:kern w:val="0"/>
                <w:lang w:eastAsia="en-GB"/>
                <w14:ligatures w14:val="none"/>
              </w:rPr>
              <w:t>This optionality can result in inconsistent adoption and limited integration of climate risk considerations across the sector.</w:t>
            </w:r>
          </w:p>
          <w:p w14:paraId="718D87F5" w14:textId="17DB9F30" w:rsidR="0039730A" w:rsidRPr="009C4D10" w:rsidRDefault="0039730A" w:rsidP="0039730A">
            <w:pPr>
              <w:jc w:val="both"/>
              <w:textAlignment w:val="baseline"/>
              <w:rPr>
                <w:rFonts w:eastAsia="Times New Roman" w:cstheme="minorHAnsi"/>
                <w:kern w:val="0"/>
                <w:lang w:eastAsia="en-GB"/>
                <w14:ligatures w14:val="none"/>
              </w:rPr>
            </w:pPr>
            <w:r w:rsidRPr="0039730A">
              <w:rPr>
                <w:rFonts w:eastAsia="Times New Roman" w:cstheme="minorHAnsi"/>
                <w:kern w:val="0"/>
                <w:lang w:eastAsia="en-GB"/>
                <w14:ligatures w14:val="none"/>
              </w:rPr>
              <w:t xml:space="preserve">Effective climate risk management depends on access to reliable data and robust methodologies for identifying, measuring, and monitoring climate-related risks. The regulations acknowledge that, for ESG and climate risks, detailed mechanisms for identification, measurement, control, and monitoring may not be fully developed. Instead, entities are allowed to provide only general guidelines and a timeline for integration if detailed processes are not yet in place </w:t>
            </w:r>
            <w:r>
              <w:rPr>
                <w:rFonts w:eastAsia="Times New Roman" w:cstheme="minorHAnsi"/>
                <w:kern w:val="0"/>
                <w:lang w:eastAsia="en-GB"/>
                <w14:ligatures w14:val="none"/>
              </w:rPr>
              <w:t>(Section</w:t>
            </w:r>
            <w:r w:rsidRPr="0039730A">
              <w:rPr>
                <w:rFonts w:eastAsia="Times New Roman" w:cstheme="minorHAnsi"/>
                <w:kern w:val="0"/>
                <w:lang w:eastAsia="en-GB"/>
                <w14:ligatures w14:val="none"/>
              </w:rPr>
              <w:t xml:space="preserve"> 2.1.1.11.2</w:t>
            </w:r>
            <w:r>
              <w:rPr>
                <w:rFonts w:eastAsia="Times New Roman" w:cstheme="minorHAnsi"/>
                <w:kern w:val="0"/>
                <w:lang w:eastAsia="en-GB"/>
                <w14:ligatures w14:val="none"/>
              </w:rPr>
              <w:t xml:space="preserve"> </w:t>
            </w:r>
            <w:r w:rsidRPr="0039730A">
              <w:rPr>
                <w:rFonts w:eastAsia="Times New Roman" w:cstheme="minorHAnsi"/>
                <w:kern w:val="0"/>
                <w:lang w:eastAsia="en-GB"/>
                <w14:ligatures w14:val="none"/>
              </w:rPr>
              <w:t>of Chapter IV, Title III, Part II). This reflects a broader challenge of data gaps and methodological uncertainty</w:t>
            </w:r>
            <w:r>
              <w:rPr>
                <w:rFonts w:eastAsia="Times New Roman" w:cstheme="minorHAnsi"/>
                <w:kern w:val="0"/>
                <w:lang w:eastAsia="en-GB"/>
                <w14:ligatures w14:val="none"/>
              </w:rPr>
              <w:t xml:space="preserve">.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42F0F595" w:rsidR="00FE0EA5" w:rsidRPr="009C4D10" w:rsidRDefault="00FE0EA5" w:rsidP="00CF2E7C">
            <w:pPr>
              <w:rPr>
                <w:rFonts w:cstheme="minorHAnsi"/>
              </w:rPr>
            </w:pPr>
            <w:r w:rsidRPr="009C4D10">
              <w:rPr>
                <w:rFonts w:cstheme="minorHAnsi"/>
                <w:lang w:val="en-SG"/>
              </w:rPr>
              <w:t> </w:t>
            </w:r>
            <w:r w:rsidRPr="009C4D10">
              <w:rPr>
                <w:rFonts w:cstheme="minorHAnsi"/>
              </w:rPr>
              <w:t> </w:t>
            </w:r>
            <w:r w:rsidR="00C65931">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10A3929" w:rsidR="00FE0EA5" w:rsidRPr="009C4D10" w:rsidRDefault="00FE0EA5" w:rsidP="00CF2E7C">
            <w:pPr>
              <w:rPr>
                <w:rFonts w:cstheme="minorHAnsi"/>
              </w:rPr>
            </w:pPr>
            <w:r w:rsidRPr="009C4D10">
              <w:rPr>
                <w:rFonts w:cstheme="minorHAnsi"/>
                <w:lang w:val="en-SG"/>
              </w:rPr>
              <w:t> </w:t>
            </w:r>
            <w:r w:rsidRPr="009C4D10">
              <w:rPr>
                <w:rFonts w:cstheme="minorHAnsi"/>
              </w:rPr>
              <w:t> </w:t>
            </w:r>
            <w:r w:rsidR="00C65931">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03FA02D" w:rsidR="00FE0EA5" w:rsidRPr="009C4D10" w:rsidRDefault="00FE0EA5" w:rsidP="00CF2E7C">
            <w:pPr>
              <w:rPr>
                <w:rFonts w:cstheme="minorHAnsi"/>
              </w:rPr>
            </w:pPr>
            <w:r w:rsidRPr="009C4D10">
              <w:rPr>
                <w:rFonts w:cstheme="minorHAnsi"/>
                <w:lang w:val="en-SG"/>
              </w:rPr>
              <w:t> </w:t>
            </w:r>
            <w:r w:rsidRPr="009C4D10">
              <w:rPr>
                <w:rFonts w:cstheme="minorHAnsi"/>
              </w:rPr>
              <w:t> </w:t>
            </w:r>
            <w:r w:rsidR="00C6593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F76C55C" w:rsidR="00FE0EA5" w:rsidRPr="009C4D10" w:rsidRDefault="00FE0EA5" w:rsidP="00CF2E7C">
            <w:pPr>
              <w:rPr>
                <w:rFonts w:cstheme="minorHAnsi"/>
              </w:rPr>
            </w:pPr>
            <w:r w:rsidRPr="009C4D10">
              <w:rPr>
                <w:rFonts w:cstheme="minorHAnsi"/>
                <w:lang w:val="en-SG"/>
              </w:rPr>
              <w:t> </w:t>
            </w:r>
            <w:r w:rsidRPr="009C4D10">
              <w:rPr>
                <w:rFonts w:cstheme="minorHAnsi"/>
              </w:rPr>
              <w:t> </w:t>
            </w:r>
            <w:r w:rsidR="0039730A">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A7E3ADA" w:rsidR="00FE0EA5" w:rsidRPr="009C4D10" w:rsidRDefault="00FE0EA5" w:rsidP="00CF2E7C">
            <w:pPr>
              <w:rPr>
                <w:rFonts w:cstheme="minorHAnsi"/>
              </w:rPr>
            </w:pPr>
            <w:r w:rsidRPr="009C4D10">
              <w:rPr>
                <w:rFonts w:cstheme="minorHAnsi"/>
                <w:lang w:val="en-SG"/>
              </w:rPr>
              <w:t> </w:t>
            </w:r>
            <w:r w:rsidRPr="009C4D10">
              <w:rPr>
                <w:rFonts w:cstheme="minorHAnsi"/>
              </w:rPr>
              <w:t> </w:t>
            </w:r>
            <w:r w:rsidR="0039730A">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7A4B4A3" w:rsidR="00FE0EA5" w:rsidRPr="009C4D10" w:rsidRDefault="00FE0EA5" w:rsidP="00CF2E7C">
            <w:pPr>
              <w:rPr>
                <w:rFonts w:cstheme="minorHAnsi"/>
              </w:rPr>
            </w:pPr>
            <w:r w:rsidRPr="009C4D10">
              <w:rPr>
                <w:rFonts w:cstheme="minorHAnsi"/>
              </w:rPr>
              <w:t>  </w:t>
            </w:r>
            <w:r w:rsidR="0039730A">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6F6C2117" w:rsidR="00FE0EA5" w:rsidRPr="009C4D10" w:rsidRDefault="00FE0EA5" w:rsidP="00CF2E7C">
            <w:pPr>
              <w:rPr>
                <w:rFonts w:cstheme="minorHAnsi"/>
              </w:rPr>
            </w:pPr>
            <w:r w:rsidRPr="009C4D10">
              <w:rPr>
                <w:rFonts w:cstheme="minorHAnsi"/>
                <w:lang w:val="en-SG"/>
              </w:rPr>
              <w:t> </w:t>
            </w:r>
            <w:r w:rsidRPr="009C4D10">
              <w:rPr>
                <w:rFonts w:cstheme="minorHAnsi"/>
              </w:rPr>
              <w:t> </w:t>
            </w:r>
            <w:r w:rsidR="00064474">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031D66" w14:textId="77777777" w:rsidR="00C64611" w:rsidRDefault="00C64611" w:rsidP="00874E39">
      <w:r>
        <w:separator/>
      </w:r>
    </w:p>
  </w:endnote>
  <w:endnote w:type="continuationSeparator" w:id="0">
    <w:p w14:paraId="7C1D8F92" w14:textId="77777777" w:rsidR="00C64611" w:rsidRDefault="00C64611" w:rsidP="00874E39">
      <w:r>
        <w:continuationSeparator/>
      </w:r>
    </w:p>
  </w:endnote>
  <w:endnote w:type="continuationNotice" w:id="1">
    <w:p w14:paraId="175849A8" w14:textId="77777777" w:rsidR="00C64611" w:rsidRDefault="00C646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3AD601" w14:textId="77777777" w:rsidR="00C64611" w:rsidRDefault="00C64611" w:rsidP="00874E39">
      <w:r>
        <w:separator/>
      </w:r>
    </w:p>
  </w:footnote>
  <w:footnote w:type="continuationSeparator" w:id="0">
    <w:p w14:paraId="1C39A8D4" w14:textId="77777777" w:rsidR="00C64611" w:rsidRDefault="00C64611" w:rsidP="00874E39">
      <w:r>
        <w:continuationSeparator/>
      </w:r>
    </w:p>
  </w:footnote>
  <w:footnote w:type="continuationNotice" w:id="1">
    <w:p w14:paraId="29E7EAF8" w14:textId="77777777" w:rsidR="00C64611" w:rsidRDefault="00C6461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9D00098"/>
    <w:multiLevelType w:val="hybridMultilevel"/>
    <w:tmpl w:val="F14A3A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7F2B75FE"/>
    <w:multiLevelType w:val="hybridMultilevel"/>
    <w:tmpl w:val="C0E48F38"/>
    <w:lvl w:ilvl="0" w:tplc="2CDC46B4">
      <w:start w:val="1"/>
      <w:numFmt w:val="decimal"/>
      <w:lvlText w:val="%1."/>
      <w:lvlJc w:val="left"/>
      <w:pPr>
        <w:ind w:left="720" w:hanging="360"/>
      </w:pPr>
      <w:rPr>
        <w:rFonts w:hint="default"/>
        <w:color w:val="000000" w:themeColor="text1"/>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1310944413">
    <w:abstractNumId w:val="49"/>
  </w:num>
  <w:num w:numId="50" w16cid:durableId="1240093490">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B5C"/>
    <w:rsid w:val="0001245C"/>
    <w:rsid w:val="00012CE9"/>
    <w:rsid w:val="000135D4"/>
    <w:rsid w:val="000147A5"/>
    <w:rsid w:val="00016AF3"/>
    <w:rsid w:val="00016D6F"/>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C37"/>
    <w:rsid w:val="0003634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474"/>
    <w:rsid w:val="00064FDB"/>
    <w:rsid w:val="00065A4A"/>
    <w:rsid w:val="0006692A"/>
    <w:rsid w:val="00067218"/>
    <w:rsid w:val="00067899"/>
    <w:rsid w:val="00067E05"/>
    <w:rsid w:val="000702AA"/>
    <w:rsid w:val="000704DB"/>
    <w:rsid w:val="00071C1F"/>
    <w:rsid w:val="0007502A"/>
    <w:rsid w:val="00075B10"/>
    <w:rsid w:val="000779A3"/>
    <w:rsid w:val="0008098E"/>
    <w:rsid w:val="00080D39"/>
    <w:rsid w:val="00082602"/>
    <w:rsid w:val="00083507"/>
    <w:rsid w:val="000844F5"/>
    <w:rsid w:val="00084827"/>
    <w:rsid w:val="00084B66"/>
    <w:rsid w:val="0008541F"/>
    <w:rsid w:val="0008744D"/>
    <w:rsid w:val="00087549"/>
    <w:rsid w:val="00090E3B"/>
    <w:rsid w:val="0009117F"/>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960"/>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079"/>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473D6"/>
    <w:rsid w:val="001507AC"/>
    <w:rsid w:val="00150B6F"/>
    <w:rsid w:val="00150BA9"/>
    <w:rsid w:val="00150CFF"/>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B0A"/>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791"/>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743"/>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63C"/>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1CDF"/>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E56"/>
    <w:rsid w:val="002C5E2F"/>
    <w:rsid w:val="002C6925"/>
    <w:rsid w:val="002C75E1"/>
    <w:rsid w:val="002C77E1"/>
    <w:rsid w:val="002D1864"/>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926"/>
    <w:rsid w:val="002E41E2"/>
    <w:rsid w:val="002E46B9"/>
    <w:rsid w:val="002E4F14"/>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CE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4BAB"/>
    <w:rsid w:val="00325558"/>
    <w:rsid w:val="00325771"/>
    <w:rsid w:val="00325E0E"/>
    <w:rsid w:val="00326D7D"/>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4D4"/>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0E0"/>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30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57E5"/>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3E"/>
    <w:rsid w:val="00410853"/>
    <w:rsid w:val="00410FCF"/>
    <w:rsid w:val="00413B91"/>
    <w:rsid w:val="0041424B"/>
    <w:rsid w:val="00414CFC"/>
    <w:rsid w:val="00415C1C"/>
    <w:rsid w:val="00415F83"/>
    <w:rsid w:val="0041618A"/>
    <w:rsid w:val="00416554"/>
    <w:rsid w:val="004205C2"/>
    <w:rsid w:val="00421D6A"/>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505"/>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3F56"/>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A7F"/>
    <w:rsid w:val="005A4E4C"/>
    <w:rsid w:val="005A54A2"/>
    <w:rsid w:val="005A5613"/>
    <w:rsid w:val="005A76C9"/>
    <w:rsid w:val="005B15C8"/>
    <w:rsid w:val="005B355B"/>
    <w:rsid w:val="005B4539"/>
    <w:rsid w:val="005C327C"/>
    <w:rsid w:val="005C4420"/>
    <w:rsid w:val="005C54D2"/>
    <w:rsid w:val="005C5681"/>
    <w:rsid w:val="005C6A1D"/>
    <w:rsid w:val="005C765C"/>
    <w:rsid w:val="005C7DF6"/>
    <w:rsid w:val="005D02C9"/>
    <w:rsid w:val="005D55BE"/>
    <w:rsid w:val="005D7CD4"/>
    <w:rsid w:val="005E0296"/>
    <w:rsid w:val="005E264E"/>
    <w:rsid w:val="005E2F27"/>
    <w:rsid w:val="005E4C3B"/>
    <w:rsid w:val="005E50FD"/>
    <w:rsid w:val="005E518A"/>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03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1BA"/>
    <w:rsid w:val="00626B40"/>
    <w:rsid w:val="00627208"/>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8E0"/>
    <w:rsid w:val="0065119F"/>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76C"/>
    <w:rsid w:val="00685A4F"/>
    <w:rsid w:val="006878AC"/>
    <w:rsid w:val="00690B2A"/>
    <w:rsid w:val="006936EF"/>
    <w:rsid w:val="006943E9"/>
    <w:rsid w:val="00695F64"/>
    <w:rsid w:val="00696548"/>
    <w:rsid w:val="00696D68"/>
    <w:rsid w:val="006A00E0"/>
    <w:rsid w:val="006A103A"/>
    <w:rsid w:val="006A2168"/>
    <w:rsid w:val="006A21C6"/>
    <w:rsid w:val="006A2418"/>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338"/>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62E"/>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B18"/>
    <w:rsid w:val="00711F61"/>
    <w:rsid w:val="007130D4"/>
    <w:rsid w:val="00714103"/>
    <w:rsid w:val="00714E43"/>
    <w:rsid w:val="00717C33"/>
    <w:rsid w:val="007201B1"/>
    <w:rsid w:val="007245FC"/>
    <w:rsid w:val="007250B7"/>
    <w:rsid w:val="0072595B"/>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4DE8"/>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153"/>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8BD"/>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D88"/>
    <w:rsid w:val="0087096F"/>
    <w:rsid w:val="008709CF"/>
    <w:rsid w:val="00871095"/>
    <w:rsid w:val="00872A9A"/>
    <w:rsid w:val="008732CE"/>
    <w:rsid w:val="0087393B"/>
    <w:rsid w:val="008747C8"/>
    <w:rsid w:val="00874E39"/>
    <w:rsid w:val="008766C1"/>
    <w:rsid w:val="00877C38"/>
    <w:rsid w:val="00877FBD"/>
    <w:rsid w:val="00880170"/>
    <w:rsid w:val="00880274"/>
    <w:rsid w:val="008812AC"/>
    <w:rsid w:val="008814CB"/>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2ECE"/>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8D0"/>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EAF"/>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7A4"/>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B63"/>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D20"/>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42D"/>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6B7"/>
    <w:rsid w:val="00AA38F6"/>
    <w:rsid w:val="00AA4965"/>
    <w:rsid w:val="00AA6DDB"/>
    <w:rsid w:val="00AB0830"/>
    <w:rsid w:val="00AB140F"/>
    <w:rsid w:val="00AB2CCC"/>
    <w:rsid w:val="00AB2D35"/>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0D1"/>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3A3"/>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CFB"/>
    <w:rsid w:val="00C512D5"/>
    <w:rsid w:val="00C51B29"/>
    <w:rsid w:val="00C5205E"/>
    <w:rsid w:val="00C522AB"/>
    <w:rsid w:val="00C55D72"/>
    <w:rsid w:val="00C56D45"/>
    <w:rsid w:val="00C57511"/>
    <w:rsid w:val="00C6146F"/>
    <w:rsid w:val="00C62AF0"/>
    <w:rsid w:val="00C636BA"/>
    <w:rsid w:val="00C6376A"/>
    <w:rsid w:val="00C63A43"/>
    <w:rsid w:val="00C64611"/>
    <w:rsid w:val="00C648D8"/>
    <w:rsid w:val="00C65931"/>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4F6A"/>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2DD"/>
    <w:rsid w:val="00CA7EEF"/>
    <w:rsid w:val="00CB1649"/>
    <w:rsid w:val="00CB179D"/>
    <w:rsid w:val="00CB3E5E"/>
    <w:rsid w:val="00CB419F"/>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DE7"/>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9B5"/>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7E7"/>
    <w:rsid w:val="00D95B33"/>
    <w:rsid w:val="00D964E4"/>
    <w:rsid w:val="00D97224"/>
    <w:rsid w:val="00D978E4"/>
    <w:rsid w:val="00DA0910"/>
    <w:rsid w:val="00DA1743"/>
    <w:rsid w:val="00DA1E8C"/>
    <w:rsid w:val="00DA2273"/>
    <w:rsid w:val="00DA22FE"/>
    <w:rsid w:val="00DA3B49"/>
    <w:rsid w:val="00DA416F"/>
    <w:rsid w:val="00DA420C"/>
    <w:rsid w:val="00DA5DDE"/>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44C"/>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4AD"/>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4AE"/>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619"/>
    <w:rsid w:val="00F74037"/>
    <w:rsid w:val="00F7455B"/>
    <w:rsid w:val="00F746AC"/>
    <w:rsid w:val="00F74B9D"/>
    <w:rsid w:val="00F74DCA"/>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FE9"/>
    <w:rsid w:val="00FD6531"/>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D6D"/>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9101599">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384181500">
      <w:bodyDiv w:val="1"/>
      <w:marLeft w:val="0"/>
      <w:marRight w:val="0"/>
      <w:marTop w:val="0"/>
      <w:marBottom w:val="0"/>
      <w:divBdr>
        <w:top w:val="none" w:sz="0" w:space="0" w:color="auto"/>
        <w:left w:val="none" w:sz="0" w:space="0" w:color="auto"/>
        <w:bottom w:val="none" w:sz="0" w:space="0" w:color="auto"/>
        <w:right w:val="none" w:sz="0" w:space="0" w:color="auto"/>
      </w:divBdr>
    </w:div>
    <w:div w:id="48536229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2468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078677">
      <w:bodyDiv w:val="1"/>
      <w:marLeft w:val="0"/>
      <w:marRight w:val="0"/>
      <w:marTop w:val="0"/>
      <w:marBottom w:val="0"/>
      <w:divBdr>
        <w:top w:val="none" w:sz="0" w:space="0" w:color="auto"/>
        <w:left w:val="none" w:sz="0" w:space="0" w:color="auto"/>
        <w:bottom w:val="none" w:sz="0" w:space="0" w:color="auto"/>
        <w:right w:val="none" w:sz="0" w:space="0" w:color="auto"/>
      </w:divBdr>
    </w:div>
    <w:div w:id="152019889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20074518">
      <w:bodyDiv w:val="1"/>
      <w:marLeft w:val="0"/>
      <w:marRight w:val="0"/>
      <w:marTop w:val="0"/>
      <w:marBottom w:val="0"/>
      <w:divBdr>
        <w:top w:val="none" w:sz="0" w:space="0" w:color="auto"/>
        <w:left w:val="none" w:sz="0" w:space="0" w:color="auto"/>
        <w:bottom w:val="none" w:sz="0" w:space="0" w:color="auto"/>
        <w:right w:val="none" w:sz="0" w:space="0" w:color="auto"/>
      </w:divBdr>
    </w:div>
    <w:div w:id="192768534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1955/https:/www.superfinanciera.gov.co/publicaciones/10115528/circular-basica-juridica-ce-006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90ECBF61-7E21-49F9-9495-3214656EBBF9}"/>
</file>

<file path=docProps/app.xml><?xml version="1.0" encoding="utf-8"?>
<Properties xmlns="http://schemas.openxmlformats.org/officeDocument/2006/extended-properties" xmlns:vt="http://schemas.openxmlformats.org/officeDocument/2006/docPropsVTypes">
  <Template>Normal</Template>
  <TotalTime>330</TotalTime>
  <Pages>41</Pages>
  <Words>24640</Words>
  <Characters>135521</Characters>
  <Application>Microsoft Office Word</Application>
  <DocSecurity>0</DocSecurity>
  <Lines>1129</Lines>
  <Paragraphs>319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50</cp:revision>
  <cp:lastPrinted>2025-03-21T00:14:00Z</cp:lastPrinted>
  <dcterms:created xsi:type="dcterms:W3CDTF">2025-06-25T15:02:00Z</dcterms:created>
  <dcterms:modified xsi:type="dcterms:W3CDTF">2025-07-10T15:08:00Z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